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Organische fijnchemie</w:t>
      </w:r>
    </w:p>
    <w:p w:rsidRDefault="00031346" w:rsidP="00031346">
      <w:pPr>
        <w:jc w:val="center"/>
      </w:pPr>
      <w:r>
        <w:t>Op basis van de “BREF for the Manufacture of Organic Fine Chemicals (OFC) (2006)”</w:t>
      </w:r>
    </w:p>
    <w:p w:rsidRDefault="00BC3E6C" w:rsidP="008B3835"/>
    <w:p>
      <w:pPr>
        <w:rPr/>
      </w:pPr>
      <w:r>
        <w:fldChar w:fldCharType="begin"/>
      </w:r>
      <w:r>
        <w:instrText xml:space="preserve">HYPERLINK \l "category-121862"</w:instrText>
      </w:r>
      <w:r>
        <w:fldChar w:fldCharType="separate"/>
      </w:r>
      <w:r>
        <w:rPr/>
        <w:t xml:space="preserve">Algemeen</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 die biologisch actieve stoffen bevatten in concentraties die risico's kunnen stellen voor de nageschakelde waterzuivering of, na lozing, naar het ontvangend milieucompartiment, voorbehandelen</w:t>
            </w:r>
          </w:p>
          <w:bookmarkStart w:id="61600842" w:name="category-121862"/>
          <w:bookmarkEnd w:id="6160084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5.2.4.1.2, 4.3.2.6, 4.3.7.5, 4.3.7.9, 4.3.8.13, 4.3.8.18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b.v. voor afvalwaterstromen van productie van biociden/gewasbeschermingsproducten, (nitro-)fenol bevattende waswaters bij nitrering van aromaten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die vrije cyanides bevatten reconditioneren om grondstoffen te substitueren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5.2.4.6, 4.3.6.2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waar technisch mogelijk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met een relevante recalcitrante belasting gescheiden houden en voorbehandelen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5.2.4.2.2, 5.2.4.2.1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Criteria voor niet-relevante recalcitrante organische belasting: bioelimineerbaarheid &gt;80-90%, of (bij lagere bioelemineerbaarheid): TOC &lt; 7,50-40 kg TOC per batch of per dag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met een significante AOX belasting voorbehandelen en hierbij de BBT-gerelateerde AOX waarden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5.2.4.4.2, 4.3.7.14, Tabel 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concentratieniveaus voor AOX: 0,5-8,5 mg/l aan de ingang van de on-site biologische afvalwaterzuivering of aan de ingang van de openbare riolering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met een significante belasting aan cyanides </w:t>
            </w:r>
          </w:p>
          <w:p>
            <w:pPr>
              <w:widowControl w:val="on"/>
              <w:pBdr/>
              <w:spacing w:before="160" w:after="160" w:line="240" w:lineRule="auto"/>
              <w:ind w:left="0" w:right="0"/>
              <w:jc w:val="left"/>
            </w:pPr>
            <w:r>
              <w:rPr>
                <w:color w:val="000000"/>
                <w:sz w:val="16"/>
                <w:szCs w:val="16"/>
              </w:rPr>
              <w:t xml:space="preserve">Afvalwaterstromen met een significante belasting aan cyanides ofwel</w:t>
            </w:r>
          </w:p>
          <w:p>
            <w:pPr>
              <w:numPr>
                <w:ilvl w:val="0"/>
                <w:numId w:val="81807697"/>
              </w:numPr>
              <w:spacing w:before="0" w:after="0" w:line="240" w:lineRule="auto"/>
              <w:jc w:val="left"/>
              <w:rPr>
                <w:color w:val="000000"/>
                <w:sz w:val="16"/>
                <w:szCs w:val="16"/>
              </w:rPr>
            </w:pPr>
            <w:r>
              <w:rPr>
                <w:color w:val="000000"/>
                <w:sz w:val="16"/>
                <w:szCs w:val="16"/>
              </w:rPr>
              <w:t xml:space="preserve">voorbehandelen en het BBT-gerelateerde concentratieniveau voor cyanides bereiken</w:t>
            </w:r>
          </w:p>
          <w:p>
            <w:pPr>
              <w:numPr>
                <w:ilvl w:val="0"/>
                <w:numId w:val="81807697"/>
              </w:numPr>
              <w:spacing w:before="0" w:after="0" w:line="240" w:lineRule="auto"/>
              <w:jc w:val="left"/>
              <w:rPr>
                <w:color w:val="000000"/>
                <w:sz w:val="16"/>
                <w:szCs w:val="16"/>
              </w:rPr>
            </w:pPr>
            <w:r>
              <w:rPr>
                <w:color w:val="000000"/>
                <w:sz w:val="16"/>
                <w:szCs w:val="16"/>
              </w:rPr>
              <w:t xml:space="preserve">veilige degradatie van cyanides in een biologische afvalwaterbehandelingsinstallatie mogelijk maken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5.2.4.6, 4.3.6.2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concentratieniveau voor cyanides na voorbehandeling van het afvalwater: 1 mg/l of lager. Gebruik van NaOCl voor de voorbehandeling wordt niet als BBT beschouwd.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met een significante belasting aan metalen of metaalverbindingen, afkomstig van processen waarin deze doelbewust gebruikt worden, voorbehandelen en hierbij de BBT-gerelateerde concentratieniveaus voor zware metalen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5.2.4.5, 4.3.7.22, Tabel 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concentratieniveaus voor zware metalen: 0,03-0,4 mg Cu/l, 0,04-0,3 mg Cr/l, 0,03-0,3 mg Ni/l en 0,1-0,5 mg Zn/l aan de ingang van de on-stie biologische afvalwaterzuivering of aan de ingang van de openbare riolering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onnodige openingen sluiten om te vermijden dat lucht via de procesapparatuur naar het afgascollectie systeem wordt gezogen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5.1.2.4.1, 4.2.14, 4.3.5.17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pompputten of andere ruimtes van behandelingsinstallaties waar de kans op morsen/overlopen bestaat, voorzien van alarmen die waarschuwen bij hoog vloeistofniveau, of (in de plaats daarvan) pompputten regelmatig laten controleren door het personeel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Apparatuur gesloten houden gedurende het spoelen en reinigen door middel van solventen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5.1.2.3.3, 4.2.14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biologische afvalwaterzuivering de BBT-gerelateerde emissieniveaus bereiken voor CZV, totaal P, anorg. N, AOX, metalen, zwevende stoffen en toxiciteit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5.2.4.7.2, Tabel 5.8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emissieniveaus: zie Tabel 5.8 in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de energiebehoefte minimaliseren, rekening houdend met de gerelateerde milieu en economische impacts. Voorkeur geven aan reacties bij omgevingstemperatuur en -druk.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gebruik maken van  hernieuwbare in plaats van uitputbare grondstoffen, voor zover technisch en economisch haalbaar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gebruik maken van katalytische reagentia, die meestal beter zijn dan stoechiometrische reagentia</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5.1.1.1, 4.1.4.4, 4.1.4.5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gebruik maken van stoffen met weinig of geen toxiciteit voor menselijke gezondheid en het milieu. </w:t>
            </w:r>
          </w:p>
          <w:p>
            <w:pPr>
              <w:widowControl w:val="on"/>
              <w:pBdr/>
              <w:spacing w:before="160" w:after="160" w:line="240" w:lineRule="auto"/>
              <w:ind w:left="0" w:right="0"/>
              <w:jc w:val="left"/>
            </w:pPr>
            <w:r>
              <w:rPr>
                <w:color w:val="000000"/>
                <w:sz w:val="16"/>
                <w:szCs w:val="16"/>
              </w:rPr>
              <w:t xml:space="preserve">Bij de ontwikkeling van nieuwe processen: gebruik maken van stoffen met weinig of geen toxiciteit voor menselijke gezondheid en het milieu. Stoffen moeten zodanig geselecteerd worden dat de mogelijkheid van ongelukken, verliezen, explosies en brand wordt geminimaliseerd, b.v. bij de selectie van solventen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het gebruik van hulpstoffen (b.v. solventen, scheidingsmiddelen enz.)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het procesontwerp verbeteren om de incorporatie van alle gebruikte inputmaterialen in het eindproduct te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5.1.1.1, 4.1.4.3, 4.1.4.8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ontwikkeling van nieuwe processen: onnodige derivatisering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droogprocessen gebruik maken van gesloten circuits, met inbegrip van condensors voor solvent recuperatie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5.1.2.3.2, 4.2.14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niet-oxidatieve VOS  recuperatie-/behandelingstechnieken, emissies reduceren tot op het niveau van de BBT-gerelateerde emissiewaarden gegeven in Tabel 5.2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5.2.3.1.2, 4.3.5.6, 4.3.5.11, 4.3.5.14, 4.3.5.17, 4.3.5.18, Tabel 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bij gebruik van niet-oxidatieve VOS  recuperatie-/behandelingstechnieken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TOC: 0,1 kg C/uur of 20 mg C/m³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thermische of katalytische naverbranding, de BBT-gerelateerde emissiewaarden voor NOx bereiken, zonodig door gebruik van een een DeNOx systeem (b.v. SCR en SNCR) of een twee traps verbranding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5.2.3.2.1, 4.3.5.7, 4.3.5.19, Tabel 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bij gebruik van thermische of katalytische naverbranding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NOx: 0,1- 0,3 kg/uur of 13-50 mg/m³ (bij input van N-houdende organische verbindingen: 25-150 mg/m³)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thermische of katalytsiche naverbranding, emissies reduceren tot op het niveau van de BBT-gerelateerde emissiewaarden gegeven in Tabel 5.3</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5.2.3.1.3, 4.3.5.7, 4.3.5.8, 4.3.5.18, Tabel 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bij gebruik van thermische of katalytsiche naverbranding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TOC: &lt; 0,05 kg C/uur of &lt; 5 mg C/m³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Bronnen van VOS-emissies omsluiten en afsluiten en openingen afdichten om ongecontroleerde emissies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5.1.2.3.1, 4.2.14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Continue monitoring van emissies naar lucht (b.v. d.m.v. FID)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5.2.1.1.4, 4.3.1.8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waar afgassen van diverse processen behandeld worden in een centraal niet-oxidatief behandelings-/recuperatiesysteem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accumulatie van piekvrachten en -stromen en de hieraan verbonden emissieconcentratiepieken minimaliseren</w:t>
            </w:r>
          </w:p>
          <w:p>
            <w:pPr>
              <w:widowControl w:val="on"/>
              <w:pBdr/>
              <w:spacing w:before="160" w:after="160" w:line="240" w:lineRule="auto"/>
              <w:ind w:left="0" w:right="0"/>
              <w:jc w:val="left"/>
            </w:pPr>
            <w:r>
              <w:rPr>
                <w:color w:val="000000"/>
                <w:sz w:val="16"/>
                <w:szCs w:val="16"/>
              </w:rPr>
              <w:t xml:space="preserve">De accumulatie van piekvrachten en -stromen en de hieraan verbonden emissieconcentratiepieken minimaliseren, b.v. door</w:t>
            </w:r>
          </w:p>
          <w:p>
            <w:pPr>
              <w:numPr>
                <w:ilvl w:val="0"/>
                <w:numId w:val="81807697"/>
              </w:numPr>
              <w:spacing w:before="0" w:after="0" w:line="240" w:lineRule="auto"/>
              <w:jc w:val="left"/>
              <w:rPr>
                <w:color w:val="000000"/>
                <w:sz w:val="16"/>
                <w:szCs w:val="16"/>
              </w:rPr>
            </w:pPr>
            <w:r>
              <w:rPr>
                <w:color w:val="000000"/>
                <w:sz w:val="16"/>
                <w:szCs w:val="16"/>
              </w:rPr>
              <w:t xml:space="preserve">de productiematrix te opimaliseren</w:t>
            </w:r>
          </w:p>
          <w:p>
            <w:pPr>
              <w:numPr>
                <w:ilvl w:val="0"/>
                <w:numId w:val="81807697"/>
              </w:numPr>
              <w:spacing w:before="0" w:after="0" w:line="240" w:lineRule="auto"/>
              <w:jc w:val="left"/>
              <w:rPr>
                <w:color w:val="000000"/>
                <w:sz w:val="16"/>
                <w:szCs w:val="16"/>
              </w:rPr>
            </w:pPr>
            <w:r>
              <w:rPr>
                <w:color w:val="000000"/>
                <w:sz w:val="16"/>
                <w:szCs w:val="16"/>
              </w:rPr>
              <w:t xml:space="preserve">gebruik te maken van een filter die de emissies gelijkmatiger maakt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5.1.2.4.6, 4.3.5.17, 4.3.5.13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Cl2 bereiken, zonodig door gebruik van technieken zoals absorptie van de overmaat chloor en/of wassers met wasvloeistoffen zoals NaHSO3</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5.2.3.3, 4.3.5.2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Cl2: 0,1-1 mg/m³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HBr bereiken, zonodig door gebruik van wassing met wasvloeistoffen zoals water of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5.2.3.3, 1.1.1, 4.3.5.4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HBr: &lt; 1 mg/m³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HCl bereiken, zonodig door gebruik van één of meer wassers met wasvloeistoffen zoals water of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5.2.3.3, 4.3.5.3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HCl: 0,2-7,5 mg/m³ of 0,001-0,08 kg/uur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NH3 in afgassen bereiken, zonodig door gebruik van wassing met wasvloeistoffen zoals water of zuren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5.2.3.4.1, 4.3.5.20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NH3 in afgassen: 0,1-10 mg/m³ of 0,001-0,1 kg/uur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NH3 slip bij SCR of SNCR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5.2.3.4.2, 4.3.5.7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bij gebruik van SCR of SNCR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NH3 bij SCR of SNCR: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SOx bereiken, zonodig door gebruik van wassing met wasvloeistoffen zoals water of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5.2.3.5, 4.3.5.21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SOx: 1-15 mg/m³ of 0,001-0,1 kg/uur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BBT-gerelateerde emissiewaarden voor stof bereiken, zonodig door gebruik van technieken zoals mouwenfilters, doekenfilters, cyclonen, wassers, of natte elektrostatische precipitatie (natte ESP)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5.2.3.6, 4.3.5.22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stof: 0,05-5 mg/m³ of 0,001-0,1 kg/uur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individuele afgasvolumes bepalen die van procesapparatuur naar het behandelings-/recuperatiesysteem gaan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5.2.1.1.5, 4.3.1.7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integriteit van inkuipingen (bunds) testen en aantonen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luchtdichtheid van de procesapparatuur verzekeren, in het bijzonder voor vaten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5.1.2.4.2, 4.2.16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opties (voor energiebesparing) evalueren en het energiegebruik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5.1.2.6, 4.2.11, 4.2.20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volumestroom van de afgassen bij destillatieprocessen minimaliseren door het ontwerp van de condensor te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5.1.2.4.4, 4.2.20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Duidelijke procedures vastleggen om voor batch processen het gewenste eindpunt van de reactie te bepalen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5.1.2.5.4, 4.2.23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gedetailleerde analyse van afvalstromen uitvoeren om de herkomst van de afvalstromen te bepalen, en een gegevensset te krijgen die een goed beheer en geschikte behandeling van afgassen, afvalwaterstromen en vaste reststoffen mogelijk maakt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gestructureerde veiligheidsevaluatie uitvoeren voor normale werking en rekening houden met effecten veroorzaakt door afwijkingen in het chemisch proces en in de werking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milieuzorgsysteem implementeren en volgen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of meerder van volgende technieken toepassen om te verzekeren dat een proces voldoende kan gecontroleerd worden  </w:t>
            </w:r>
          </w:p>
          <w:p>
            <w:pPr>
              <w:widowControl w:val="on"/>
              <w:pBdr/>
              <w:spacing w:before="160" w:after="160" w:line="240" w:lineRule="auto"/>
              <w:ind w:left="0" w:right="0"/>
              <w:jc w:val="left"/>
            </w:pPr>
            <w:r>
              <w:rPr>
                <w:color w:val="000000"/>
                <w:sz w:val="16"/>
                <w:szCs w:val="16"/>
              </w:rPr>
              <w:t xml:space="preserve">Een of meerder van volgende technieken toepassen om te verzekeren dat een proces voldoende kan gecontroleerd worden:</w:t>
            </w:r>
          </w:p>
          <w:p>
            <w:pPr>
              <w:numPr>
                <w:ilvl w:val="0"/>
                <w:numId w:val="81807697"/>
              </w:numPr>
              <w:spacing w:before="0" w:after="0" w:line="240" w:lineRule="auto"/>
              <w:jc w:val="left"/>
              <w:rPr>
                <w:color w:val="000000"/>
                <w:sz w:val="16"/>
                <w:szCs w:val="16"/>
              </w:rPr>
            </w:pPr>
            <w:r>
              <w:rPr>
                <w:color w:val="000000"/>
                <w:sz w:val="16"/>
                <w:szCs w:val="16"/>
              </w:rPr>
              <w:t xml:space="preserve">organisatorische maatregelen,</w:t>
            </w:r>
          </w:p>
          <w:p>
            <w:pPr>
              <w:numPr>
                <w:ilvl w:val="0"/>
                <w:numId w:val="81807697"/>
              </w:numPr>
              <w:spacing w:before="0" w:after="0" w:line="240" w:lineRule="auto"/>
              <w:jc w:val="left"/>
              <w:rPr>
                <w:color w:val="000000"/>
                <w:sz w:val="16"/>
                <w:szCs w:val="16"/>
              </w:rPr>
            </w:pPr>
            <w:r>
              <w:rPr>
                <w:color w:val="000000"/>
                <w:sz w:val="16"/>
                <w:szCs w:val="16"/>
              </w:rPr>
              <w:t xml:space="preserve">concepten met betrekking tot regeltechnieken,</w:t>
            </w:r>
          </w:p>
          <w:p>
            <w:pPr>
              <w:numPr>
                <w:ilvl w:val="0"/>
                <w:numId w:val="81807697"/>
              </w:numPr>
              <w:spacing w:before="0" w:after="0" w:line="240" w:lineRule="auto"/>
              <w:jc w:val="left"/>
              <w:rPr>
                <w:color w:val="000000"/>
                <w:sz w:val="16"/>
                <w:szCs w:val="16"/>
              </w:rPr>
            </w:pPr>
            <w:r>
              <w:rPr>
                <w:color w:val="000000"/>
                <w:sz w:val="16"/>
                <w:szCs w:val="16"/>
              </w:rPr>
              <w:t xml:space="preserve">reactie stopzetting (b.v. neutralisatie, quenching),</w:t>
            </w:r>
          </w:p>
          <w:p>
            <w:pPr>
              <w:numPr>
                <w:ilvl w:val="0"/>
                <w:numId w:val="81807697"/>
              </w:numPr>
              <w:spacing w:before="0" w:after="0" w:line="240" w:lineRule="auto"/>
              <w:jc w:val="left"/>
              <w:rPr>
                <w:color w:val="000000"/>
                <w:sz w:val="16"/>
                <w:szCs w:val="16"/>
              </w:rPr>
            </w:pPr>
            <w:r>
              <w:rPr>
                <w:color w:val="000000"/>
                <w:sz w:val="16"/>
                <w:szCs w:val="16"/>
              </w:rPr>
              <w:t xml:space="preserve">noodkoeling,</w:t>
            </w:r>
          </w:p>
          <w:p>
            <w:pPr>
              <w:numPr>
                <w:ilvl w:val="0"/>
                <w:numId w:val="81807697"/>
              </w:numPr>
              <w:spacing w:before="0" w:after="0" w:line="240" w:lineRule="auto"/>
              <w:jc w:val="left"/>
              <w:rPr>
                <w:color w:val="000000"/>
                <w:sz w:val="16"/>
                <w:szCs w:val="16"/>
              </w:rPr>
            </w:pPr>
            <w:r>
              <w:rPr>
                <w:color w:val="000000"/>
                <w:sz w:val="16"/>
                <w:szCs w:val="16"/>
              </w:rPr>
              <w:t xml:space="preserve">drukbestendige constructie,</w:t>
            </w:r>
          </w:p>
          <w:p>
            <w:pPr>
              <w:numPr>
                <w:ilvl w:val="0"/>
                <w:numId w:val="81807697"/>
              </w:numPr>
              <w:spacing w:before="0" w:after="0" w:line="240" w:lineRule="auto"/>
              <w:jc w:val="left"/>
              <w:rPr>
                <w:color w:val="000000"/>
                <w:sz w:val="16"/>
                <w:szCs w:val="16"/>
              </w:rPr>
            </w:pPr>
            <w:r>
              <w:rPr>
                <w:color w:val="000000"/>
                <w:sz w:val="16"/>
                <w:szCs w:val="16"/>
              </w:rPr>
              <w:t xml:space="preserve">decompressie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5.1.1.2.1, 4.1.6.1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Er voor zorgen dat de eliminatie in een gemeenschappelijke (biologische) afvalwaterzuivering globaal gezien niet slechter is dan bij een on-site behandeling. Dit wordt gerealiseerd door de degradeerbaarheid/biolelimineerbaarheid regelmatig te testen.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5.2.4.7.1, 4.3.8.5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bij gemeenschappelijke (biologische) afvalwaterzuivering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r>
        <w:pict>
          <v:rect id="_x0000_i1026" style="width:0;height:1.5pt" o:hralign="center" o:hrstd="t" o:hr="t" fillcolor="#aca899" stroked="f"/>
        </w:pict>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Er voor zorgen dat lekken snel en betrouwbaar worden vastgesteld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indirecte koeling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5.1.2.5.5, 4.2.9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in gevallen waar de toepasbaarheid beperkt is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shock inertisering in plaats van continue inertisering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5.1.2.4.3, 4.2.17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indien veiligheidsaspecten dit niet toelaten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tegenstroomwassing indien de introductie van deze techniek verantwoord is op basis van de productieschaal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5.1.2.5.2, 4.2.22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water-vrije vacuum generatie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5.1.2.5.3, 4.2.5, 4.2.6, 4.2.7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in gevallen waar de toepasbaarheid beperkt is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Gebruikte zuren, b.v. afkomstig van sulfonering of nitrering gescheiden houden (van andere afvalwaterstromen) voor terugwinning (on-site of off-site) of voorbehandeling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5.2.4.1.3, 4.3.2.6, 4.3.2.8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biologisch degraderingspotentieel van het gehele effluent volledig benutten en de BBT-gerelateerde BZV verwijderingsgraden en emissieniveaus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5.2.4.7.2, 4.3.8.11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BZV-verwijderingsgraad: &gt; 99%, BBT-gerelateerde BZV-emissie: 1-18 mg/l als jaargemiddelde. Deze waarden hebben betrekking op het onverdunde effluent na biologische zuivering, dus b.v. zonder menging met koelwater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toevoegen van vloeistoffen aan vaten ofwel uitvoeren via de bodem van het vat, ofwel door middel van een ondergedompelde voedingspijp ('dip-leg')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5.1.2.4.5, 4.2.15, 4.2.18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indien de reactiechemie en/of veiligheidsaspecten dit niet toelaten. In dergelijke gevallen, bij het voeden van bovenuit, kan het opspatten van de vloeistof en de hierdoor veroorzaakte organische belasting van het verplaatste gas, verminderd worden door de voedingspijp naar de wand van het vat te richten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zowel vaste stoffen als een organische vloeistof in een vat worden gebracht, de vaste stoffen gebruiken als een drijflaag in gevallen waar het verschil in densiteit de vermindering van organische belasting in het verplaatste gassen in de hand werkt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5.1.2.4.5, 4.2.18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behalve wanneer de reactiechemie en/of veiligheidsaspecten dit niet toelaten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r>
        <w:pict>
          <v:rect id="_x0000_i1026" style="width:0;height:1.5pt" o:hralign="center" o:hrstd="t" o:hr="t" fillcolor="#aca899" stroked="f"/>
        </w:pict>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Inrichtingen waarin stoffen (meestal vloeistoffen) worden gebruikt met een potentieel risico op contaminatie van bodem en grondwater, zodanig ontwerpen, bouwen, exploiteren en onderhouden dat de kans op morsen/overlopen wordt geminimaliseerd. </w:t>
            </w:r>
          </w:p>
          <w:p>
            <w:pPr>
              <w:widowControl w:val="on"/>
              <w:pBdr/>
              <w:spacing w:before="160" w:after="160" w:line="240" w:lineRule="auto"/>
              <w:ind w:left="0" w:right="0"/>
              <w:jc w:val="left"/>
            </w:pPr>
            <w:r>
              <w:rPr>
                <w:color w:val="000000"/>
                <w:sz w:val="16"/>
                <w:szCs w:val="16"/>
              </w:rPr>
              <w:t xml:space="preserve">Inrichtingen waarin stoffen (meestal vloeistoffen) worden gebruikt met een potentieel risico op contaminatie van bodem en grondwater, zodanig ontwerpen, bouwen, exploiteren en onderhouden dat de kans op morsen/overlopen wordt geminimaliseerd. De voorzieningen moeten afgesloten en stabiel zijn, en voldoende bestand tegen mogelijke mechanische, thermische of chemische inwerkingen.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Laden en lossen enkel uitvoeren op hiervoor aangeduide terreinen met voorzieningen tegen het afstromen van gelekte 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Materialen in afwachting van verwijdering opslaan en verzamelen op hiervoor aangeduide terreinen met voorzieningen tegen het afstromen van gelekte 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 het oog op voorbehandeling, onderscheid maken tussen afvalwaterstromen met een relevante recalcitrante organische belasting en afvalwaterstromen met een niet-relevante recalcitrante organische belasting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5.2.4.2.1, 4.3.7.6, 4.3.7.7, 4.3.7.8, 4.3.7.10, 4.3.7.12, 4.3.7.13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Criteria voor niet-relevante recalcitrante organische belasting: bioelimineerbaarheid &gt;80-90%, of (bij lagere bioelemineerbaarheid): TOC &lt; 7,50-40 kg TOC per batch of per dag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Moederlogen van halogenaties en sulphochlorinaties gescheiden houden (van andere afvalwaterstromen) en voorbehandelen of verwijderen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5.2.4.1.1, 4.3.2.5, 4.3.2.10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Moederloog met een hoog zoutgehalte vermijden of alternatieve scheidingstechnieken gebruiken zodat moederlogen kunnen opgewerkt worden</w:t>
            </w:r>
          </w:p>
          <w:p>
            <w:pPr>
              <w:widowControl w:val="on"/>
              <w:pBdr/>
              <w:spacing w:before="160" w:after="160" w:line="240" w:lineRule="auto"/>
              <w:ind w:left="0" w:right="0"/>
              <w:jc w:val="left"/>
            </w:pPr>
            <w:r>
              <w:rPr>
                <w:color w:val="000000"/>
                <w:sz w:val="16"/>
                <w:szCs w:val="16"/>
              </w:rPr>
              <w:t xml:space="preserve">Moederloog met een hoog zoutgehalte vermijden of alternatieve scheidingstechnieken gebruiken zodat moederlogen kunnen opgewerkt worden, b.v.</w:t>
            </w:r>
          </w:p>
          <w:p>
            <w:pPr>
              <w:numPr>
                <w:ilvl w:val="0"/>
                <w:numId w:val="81807697"/>
              </w:numPr>
              <w:spacing w:before="0" w:after="0" w:line="240" w:lineRule="auto"/>
              <w:jc w:val="left"/>
              <w:rPr>
                <w:color w:val="000000"/>
                <w:sz w:val="16"/>
                <w:szCs w:val="16"/>
              </w:rPr>
            </w:pPr>
            <w:r>
              <w:rPr>
                <w:color w:val="000000"/>
                <w:sz w:val="16"/>
                <w:szCs w:val="16"/>
              </w:rPr>
              <w:t xml:space="preserve">membraanprocessen,</w:t>
            </w:r>
          </w:p>
          <w:p>
            <w:pPr>
              <w:numPr>
                <w:ilvl w:val="0"/>
                <w:numId w:val="81807697"/>
              </w:numPr>
              <w:spacing w:before="0" w:after="0" w:line="240" w:lineRule="auto"/>
              <w:jc w:val="left"/>
              <w:rPr>
                <w:color w:val="000000"/>
                <w:sz w:val="16"/>
                <w:szCs w:val="16"/>
              </w:rPr>
            </w:pPr>
            <w:r>
              <w:rPr>
                <w:color w:val="000000"/>
                <w:sz w:val="16"/>
                <w:szCs w:val="16"/>
              </w:rPr>
              <w:t xml:space="preserve">processen op basis van solventen,</w:t>
            </w:r>
          </w:p>
          <w:p>
            <w:pPr>
              <w:numPr>
                <w:ilvl w:val="0"/>
                <w:numId w:val="81807697"/>
              </w:numPr>
              <w:spacing w:before="0" w:after="0" w:line="240" w:lineRule="auto"/>
              <w:jc w:val="left"/>
              <w:rPr>
                <w:color w:val="000000"/>
                <w:sz w:val="16"/>
                <w:szCs w:val="16"/>
              </w:rPr>
            </w:pPr>
            <w:r>
              <w:rPr>
                <w:color w:val="000000"/>
                <w:sz w:val="16"/>
                <w:szCs w:val="16"/>
              </w:rPr>
              <w:t xml:space="preserve">reactieve extractie</w:t>
            </w:r>
          </w:p>
          <w:p>
            <w:pPr>
              <w:numPr>
                <w:ilvl w:val="0"/>
                <w:numId w:val="81807697"/>
              </w:numPr>
              <w:spacing w:before="0" w:after="0" w:line="240" w:lineRule="auto"/>
              <w:jc w:val="left"/>
              <w:rPr>
                <w:color w:val="000000"/>
                <w:sz w:val="16"/>
                <w:szCs w:val="16"/>
              </w:rPr>
            </w:pPr>
            <w:r>
              <w:rPr>
                <w:color w:val="000000"/>
                <w:sz w:val="16"/>
                <w:szCs w:val="16"/>
              </w:rPr>
              <w:t xml:space="preserve">geen intermediaire isolering doorvoeren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5.1.2.5.1, 4.2.24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 toepassing van de BBT inzake scheiding en voorbehandeling van afvalwaterstromen, effluenten met een relevante organische belasting, behandelen in een biologische afvalwaterzuiveringsinstallatie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5.2.4.7, 4.3.8.6, 4.3.8.10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a/ gebruik te maken van gesloten en afgedichte apparatuur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5.1.2.1, 4.2.1, 4.2.3, 4.2.14, 4.2.15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condensors aan te sluiten op een recuperatie/behandelingssysteem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een hoge automatiseringsgraad mogelijk te maken door toepassing van moderne procesregeltechnieken om een stabiele en efficiënte werking te verzekeren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gebruik te maken van blanketing met inerte gassen voor procesapparatuur waarin VOS worden behandeld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5.1.2.1, 4.2.1, 4.2.3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gebruik te maken van zwaartekrachtstroming in plaats van van pompen (pompen zijn een belangrijke bron van fugitieve 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het productiegebouw af te sluiten en mechanisch te ventileren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reactoren aan te sluiten op één of meerdere condensors om solventen te recupereren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5.1.2.1, 4.2.1, 4.2.14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Nieuwe installaties zodanig ontwerpen dat emissies geminimaliseerd worden, door ondermeer scheiding en selectieve behandeling van afvalwaterstromen mogelijk te maken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Online toxiciteitsmonitoring gecombineerd met online TOC metingen uitvoeren indien residuele acute toxiciteit een aandachtspunt vormt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5.2.4.8.2, 4.3.8.7, 4.3.8.20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 jaarbasis massabalansen opstellen voor VOS (inclusief gechloreerde KWS), TOC of CZV, AOX of EOX en zware metalen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5.2.1.1.1, 4.3.1.4, 4.3.1.5, 4.3.1.6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Procedures en technische maatregelen vastleggen en implementeren om de risico's bij manipulatie en opslag van gevaarlijke stoffen te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5.1.1.2.2, 4.2.30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Programma's vastleggen om tanks en pijpleidingen, met inbegrip van flenzen en kleppen, te testen en te inspecteren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Purgeerbare organische halogenen uit afvalwaterstromen verwijderen, b.v. door strippen, rectificatie of extractie en hierbij de BBT-gerelateerde concentratieniveaus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5.2.4.4.1, 4.3.7.18, 4.3.7.19, 4.3.7.20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installaties waar nog gebruik gemaakt wordt van purgeerbare organische halogenen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concentratieniveaus voor purgeerbare organische halogenen: &lt; 1 mg/l aan de uitgang van de voorbehandeling of &lt; 0,1 mg/l aan de ingang van de on-site biologische afvalwaterzuivering of aan de ingang van de openbare riolering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Recirculatie van procesdampen toepassen indien de zuiverheidsvereisten dit toelaten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5.1.2.3.4, 4.2.14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Regelmatige biomonitoring uitvoeren op de volledige effluentstroom na de biologische afvalwaterzuivering in gevallen waar stoffen met ecotoxicologische eigenschappen worden gehanteerd of geproduceerd, al dan niet doelbewust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5.2.4.8.1, 4.3.8.18, 4.3.8.19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Regelmatige controles uitvoeren op de volledige effluentstroom naar en van de biologische afvalwaterzuivering en hierbij minstens de parameters in Tabel 5.1 van de BREF meten.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5.2.4.8, 4.3.8.21, Tabel 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Solventen hergebruiken zo ver als zuiverheidsvereisten dit toelaten</w:t>
            </w:r>
          </w:p>
          <w:p>
            <w:pPr>
              <w:widowControl w:val="on"/>
              <w:pBdr/>
              <w:spacing w:before="160" w:after="160" w:line="240" w:lineRule="auto"/>
              <w:ind w:left="0" w:right="0"/>
              <w:jc w:val="left"/>
            </w:pPr>
            <w:r>
              <w:rPr>
                <w:color w:val="000000"/>
                <w:sz w:val="16"/>
                <w:szCs w:val="16"/>
              </w:rPr>
              <w:t xml:space="preserve">Solventen hergebruiken zo ver als zuiverheidsvereisten dit toelaten, door a/solventen van vorige productiebatchen te gebruiken voor toekomstige productiebatchen zo ver als zuiverheidsvereisten dit toelaten, b/ gebruikte solventen te verzamelen voor on- of off-site zuivering en hergebruik, c/ gebruikte solventen te verzamelen voor on- of off-site benutting van de calorische waarde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5.2.2, 4.3.4, 4.3.3, 4.3.5.7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Solventen terugwinnen uit afvalwaterstromen om de energetische waarde te benutten, indien de energiebalans aantoont dat dit globaal kan leiden tot een substitutie van natuurlijke brandstoffen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5.2.4.3, 4.3.5.7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Solventen terugwinnen uit afvalwaterstromen voor on-site of off-site hergebruik.</w:t>
            </w:r>
          </w:p>
          <w:p>
            <w:pPr>
              <w:widowControl w:val="on"/>
              <w:pBdr/>
              <w:spacing w:before="160" w:after="160" w:line="240" w:lineRule="auto"/>
              <w:ind w:left="0" w:right="0"/>
              <w:jc w:val="left"/>
            </w:pPr>
            <w:r>
              <w:rPr>
                <w:color w:val="000000"/>
                <w:sz w:val="16"/>
                <w:szCs w:val="16"/>
              </w:rPr>
              <w:t xml:space="preserve">Solventen terugwinnen uit afvalwaterstromen voor on-site of off-site hergebruik, door middel van technieken zoals strippen, destillatie/rectificatie, extractie of combinaties van dergelijke technieken, indien de kosten voor biologische zuivering en aankoop van nieuwe solventen hoger zijn dan de kosten voor terugwinning en zuivering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5.2.4.3, 4.3.7.18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Stoffen met een potentieel ecotoxicologisch effect individueel monitoren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5.2.1.1.4, 4.3.1.8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waar zulke stoffen worden vrijgesteld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Tanks uitrusten met overvulbeveiligingen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Technieken voor recuperatie en behandeling van VOS selecteren volgens het beslissingsschema in Figuur 5.1 van de BREF</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5.2.3.1.1, Figuur 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Uitrusting voorzien om gemorste/overgelopen stoffen op te ruimen, b.v. materiaal om de vloeistof in te dammen en geschikt absorberend materiaal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Voldoende en geschikte opleiding verschaffen aan werknemers die omgaan met gevaarlijke 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5.1.1.2.2, 4.2.29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Voldoende opvangvolume voorzien om bluswater en gecontamineerd oppervlaktewater veilig op te vangen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Voldoende opvangvolume voorzien om gemorste/overgelopen/gelekte stoffen op te vangen om behandeling en/of verwijdering mogelijk te maken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5.1.2.2, 4.2.27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afgassen van chemische productieprocessen, de BBT-gerelateerde emissiewaarden voor NOx bereiken, zonodig door gebruik van behandelingssystemen (b.v. een wasser of een cascade van wassers met wasvloeistoffen zoals water en/of H2O2)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5.2.3.2.2, 4.3.5.1, Tabel 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b.v. bij nitrering, recuperatie van gebruikte zuren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NOx van chemische processen (b.v. nitrering, recuperatie van gebruikte zuren): 0,03-1,7 kg/uur of 7-220 mg/m³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afvalwaterstromen minimaal de parameters uit Tabel 5.1 bepalen, tenzij de parameter vanuit wetenschappelijk standpunt als irrelevant kan beschouwd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5.2.1.1.3 (met daarin tabel 5.1), 4.3.1.2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gescheiden gehouden afvalwaterstromen met een relevante recalcitrante belasting, de BBT-gerelateerde verwijderingsgraad voor CZV behalen voor de combinatie voorbehandeling en biologische waterzuivering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5.2.4.2.3, 5.2.4.2.1, 4.3.8.9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verwijderingsgraad voor CZV voor de combinatie voorbehandeling en biologische waterzuivering: &gt; 95%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monitoren van emissies naar lucht, het emissieprofiel monitoren dat afgestemd is op de procesvoering in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5.2.1.1.4, 4.3.1.8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het spoelen/reinigen van apparatuur een voorspoelstap uitvoeren om de organische belasting van de waswaters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5.1.2.5.6, 4.2.12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Vrije cyanides uit afgassen verwijderen, en de BBT-gerelateerde emissiewaarden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5.2.3.7, 4.3.6.2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vrije cyanides (als HCN): 1 mg/m³ of 3 g/uur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Zorgen voor een controleerbare aanpak voor de integratie van milieu, gezondheid en veiligheidsaspecten in de procesontwikkeling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Organische fijnchemie</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Organische fijnchemie</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07697">
    <w:multiLevelType w:val="hybridMultilevel"/>
    <w:lvl w:ilvl="0" w:tplc="972047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07697">
    <w:abstractNumId w:val="81807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48292459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