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FD0C" w14:textId="2F1B4877" w:rsidR="0069381B" w:rsidRPr="00BF6F9C" w:rsidRDefault="00960B7B" w:rsidP="0069381B">
      <w:pPr>
        <w:jc w:val="right"/>
        <w:rPr>
          <w:color w:val="0A3296"/>
          <w:sz w:val="20"/>
          <w:lang w:val="nl-NL"/>
        </w:rPr>
      </w:pPr>
      <w:bookmarkStart w:id="0" w:name="_GoBack"/>
      <w:bookmarkEnd w:id="0"/>
      <w:r w:rsidRPr="00BF6F9C">
        <w:rPr>
          <w:color w:val="0A3296"/>
          <w:sz w:val="20"/>
          <w:lang w:val="nl-NL"/>
        </w:rPr>
        <w:t>Brussel</w:t>
      </w:r>
      <w:r w:rsidR="0069381B" w:rsidRPr="00BF6F9C">
        <w:rPr>
          <w:color w:val="0A3296"/>
          <w:sz w:val="20"/>
          <w:lang w:val="nl-NL"/>
        </w:rPr>
        <w:t xml:space="preserve">, </w:t>
      </w:r>
      <w:r w:rsidR="00DD1F06" w:rsidRPr="00BF6F9C">
        <w:rPr>
          <w:color w:val="0A3296"/>
          <w:sz w:val="20"/>
          <w:lang w:val="nl-NL"/>
        </w:rPr>
        <w:t>30</w:t>
      </w:r>
      <w:r w:rsidR="00DE24DC" w:rsidRPr="00BF6F9C">
        <w:rPr>
          <w:color w:val="0A3296"/>
          <w:sz w:val="20"/>
          <w:lang w:val="nl-NL"/>
        </w:rPr>
        <w:t xml:space="preserve"> </w:t>
      </w:r>
      <w:r w:rsidRPr="00BF6F9C">
        <w:rPr>
          <w:color w:val="0A3296"/>
          <w:sz w:val="20"/>
          <w:lang w:val="nl-NL"/>
        </w:rPr>
        <w:t xml:space="preserve">juni </w:t>
      </w:r>
      <w:r w:rsidR="0069381B" w:rsidRPr="00BF6F9C">
        <w:rPr>
          <w:color w:val="0A3296"/>
          <w:sz w:val="20"/>
          <w:lang w:val="nl-NL"/>
        </w:rPr>
        <w:t>2018</w:t>
      </w:r>
    </w:p>
    <w:p w14:paraId="7EA8AE5D" w14:textId="77777777" w:rsidR="0069381B" w:rsidRPr="00BF6F9C" w:rsidRDefault="00194543" w:rsidP="00E356CB">
      <w:pPr>
        <w:rPr>
          <w:i/>
          <w:color w:val="0A3296"/>
          <w:sz w:val="24"/>
          <w:lang w:val="nl-NL"/>
        </w:rPr>
      </w:pPr>
      <w:r w:rsidRPr="00BF6F9C">
        <w:rPr>
          <w:i/>
          <w:noProof/>
          <w:color w:val="0A3296"/>
          <w:sz w:val="24"/>
          <w:lang w:val="nl-NL"/>
        </w:rPr>
        <mc:AlternateContent>
          <mc:Choice Requires="wps">
            <w:drawing>
              <wp:anchor distT="0" distB="0" distL="114300" distR="114300" simplePos="0" relativeHeight="251659264" behindDoc="0" locked="0" layoutInCell="1" allowOverlap="1" wp14:anchorId="732529BD" wp14:editId="73BF1A0A">
                <wp:simplePos x="0" y="0"/>
                <wp:positionH relativeFrom="column">
                  <wp:posOffset>2216150</wp:posOffset>
                </wp:positionH>
                <wp:positionV relativeFrom="paragraph">
                  <wp:posOffset>86360</wp:posOffset>
                </wp:positionV>
                <wp:extent cx="15176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7994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6.8pt" to="2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" strokecolor="#4f81bd [3204]" strokeweight="1pt"/>
            </w:pict>
          </mc:Fallback>
        </mc:AlternateContent>
      </w:r>
    </w:p>
    <w:p w14:paraId="2836337A" w14:textId="001BD5E6" w:rsidR="0069381B" w:rsidRPr="00BF6F9C" w:rsidRDefault="00960B7B" w:rsidP="0069381B">
      <w:pPr>
        <w:jc w:val="center"/>
        <w:rPr>
          <w:b/>
          <w:color w:val="0A3296"/>
          <w:sz w:val="26"/>
          <w:szCs w:val="26"/>
          <w:lang w:val="nl-NL"/>
        </w:rPr>
      </w:pPr>
      <w:r w:rsidRPr="00BF6F9C">
        <w:rPr>
          <w:b/>
          <w:color w:val="0A3296"/>
          <w:sz w:val="26"/>
          <w:szCs w:val="26"/>
          <w:lang w:val="nl-NL"/>
        </w:rPr>
        <w:t>Tweede pers</w:t>
      </w:r>
      <w:r w:rsidR="00415359">
        <w:rPr>
          <w:b/>
          <w:color w:val="0A3296"/>
          <w:sz w:val="26"/>
          <w:szCs w:val="26"/>
          <w:lang w:val="nl-NL"/>
        </w:rPr>
        <w:t>bericht</w:t>
      </w:r>
    </w:p>
    <w:p w14:paraId="42619561" w14:textId="77777777" w:rsidR="0069381B" w:rsidRPr="00BF6F9C" w:rsidRDefault="00194543" w:rsidP="0069381B">
      <w:pPr>
        <w:jc w:val="center"/>
        <w:rPr>
          <w:color w:val="0A3296"/>
          <w:lang w:val="nl-NL"/>
        </w:rPr>
      </w:pPr>
      <w:r w:rsidRPr="00BF6F9C">
        <w:rPr>
          <w:i/>
          <w:noProof/>
          <w:color w:val="0A3296"/>
          <w:sz w:val="24"/>
          <w:lang w:val="nl-NL"/>
        </w:rPr>
        <mc:AlternateContent>
          <mc:Choice Requires="wps">
            <w:drawing>
              <wp:anchor distT="0" distB="0" distL="114300" distR="114300" simplePos="0" relativeHeight="251661312" behindDoc="0" locked="0" layoutInCell="1" allowOverlap="1" wp14:anchorId="0556DE82" wp14:editId="70A2D1DA">
                <wp:simplePos x="0" y="0"/>
                <wp:positionH relativeFrom="column">
                  <wp:posOffset>2216150</wp:posOffset>
                </wp:positionH>
                <wp:positionV relativeFrom="paragraph">
                  <wp:posOffset>53975</wp:posOffset>
                </wp:positionV>
                <wp:extent cx="15176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51765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B518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4.25pt" to="2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" strokecolor="#4f81bd [3204]" strokeweight="1pt"/>
            </w:pict>
          </mc:Fallback>
        </mc:AlternateContent>
      </w:r>
    </w:p>
    <w:p w14:paraId="34AC7DB6" w14:textId="77777777" w:rsidR="0069381B" w:rsidRPr="00BF6F9C" w:rsidRDefault="0069381B" w:rsidP="0069381B">
      <w:pPr>
        <w:jc w:val="center"/>
        <w:rPr>
          <w:color w:val="0A3296"/>
          <w:lang w:val="nl-NL"/>
        </w:rPr>
      </w:pPr>
    </w:p>
    <w:p w14:paraId="585F6FEE" w14:textId="2380475D" w:rsidR="0093346C" w:rsidRPr="00BF6F9C" w:rsidRDefault="0069381B" w:rsidP="0069381B">
      <w:pPr>
        <w:jc w:val="center"/>
        <w:rPr>
          <w:color w:val="0A3296"/>
          <w:sz w:val="24"/>
          <w:lang w:val="nl-NL"/>
        </w:rPr>
      </w:pPr>
      <w:r w:rsidRPr="00BF6F9C">
        <w:rPr>
          <w:color w:val="0A3296"/>
          <w:sz w:val="24"/>
          <w:lang w:val="nl-NL"/>
        </w:rPr>
        <w:t xml:space="preserve">MSTyr15 </w:t>
      </w:r>
      <w:r w:rsidR="002F018C" w:rsidRPr="00BF6F9C">
        <w:rPr>
          <w:color w:val="0A3296"/>
          <w:sz w:val="24"/>
          <w:lang w:val="nl-NL"/>
        </w:rPr>
        <w:t>h</w:t>
      </w:r>
      <w:r w:rsidR="00415359">
        <w:rPr>
          <w:color w:val="0A3296"/>
          <w:sz w:val="24"/>
          <w:lang w:val="nl-NL"/>
        </w:rPr>
        <w:t xml:space="preserve">eeft betrouwbaarheid van </w:t>
      </w:r>
      <w:r w:rsidR="007030C6">
        <w:rPr>
          <w:color w:val="0A3296"/>
          <w:sz w:val="24"/>
          <w:lang w:val="nl-NL"/>
        </w:rPr>
        <w:t xml:space="preserve">het bandenetiket </w:t>
      </w:r>
      <w:r w:rsidR="002F018C" w:rsidRPr="00BF6F9C">
        <w:rPr>
          <w:color w:val="0A3296"/>
          <w:sz w:val="24"/>
          <w:lang w:val="nl-NL"/>
        </w:rPr>
        <w:t>verbeterd</w:t>
      </w:r>
    </w:p>
    <w:p w14:paraId="58E0CEC1" w14:textId="77777777" w:rsidR="0069381B" w:rsidRPr="00BF6F9C" w:rsidRDefault="0069381B" w:rsidP="0069381B">
      <w:pPr>
        <w:jc w:val="both"/>
        <w:rPr>
          <w:color w:val="0A3296"/>
          <w:sz w:val="24"/>
          <w:lang w:val="nl-NL"/>
        </w:rPr>
      </w:pPr>
    </w:p>
    <w:p w14:paraId="4368ACA9" w14:textId="62B0B8C8" w:rsidR="0069381B" w:rsidRPr="00BF6F9C" w:rsidRDefault="002F018C" w:rsidP="0069381B">
      <w:pPr>
        <w:jc w:val="both"/>
        <w:rPr>
          <w:i/>
          <w:noProof/>
          <w:color w:val="000000"/>
          <w:sz w:val="20"/>
          <w:szCs w:val="21"/>
          <w:lang w:val="nl-NL"/>
        </w:rPr>
      </w:pPr>
      <w:r w:rsidRPr="00BF6F9C">
        <w:rPr>
          <w:rFonts w:cs="Calibri"/>
          <w:i/>
          <w:sz w:val="20"/>
          <w:szCs w:val="21"/>
          <w:lang w:val="nl-NL"/>
        </w:rPr>
        <w:t xml:space="preserve">Gedurende de voorbije </w:t>
      </w:r>
      <w:r w:rsidR="0069381B" w:rsidRPr="00BF6F9C">
        <w:rPr>
          <w:rFonts w:cs="Calibri"/>
          <w:i/>
          <w:sz w:val="20"/>
          <w:szCs w:val="21"/>
          <w:lang w:val="nl-NL"/>
        </w:rPr>
        <w:t>2</w:t>
      </w:r>
      <w:r w:rsidR="00DE3A8E" w:rsidRPr="00BF6F9C">
        <w:rPr>
          <w:rFonts w:cs="Calibri"/>
          <w:i/>
          <w:sz w:val="20"/>
          <w:szCs w:val="21"/>
          <w:lang w:val="nl-NL"/>
        </w:rPr>
        <w:t>8</w:t>
      </w:r>
      <w:r w:rsidR="0069381B" w:rsidRPr="00BF6F9C">
        <w:rPr>
          <w:rFonts w:cs="Calibri"/>
          <w:i/>
          <w:sz w:val="20"/>
          <w:szCs w:val="21"/>
          <w:lang w:val="nl-NL"/>
        </w:rPr>
        <w:t xml:space="preserve"> </w:t>
      </w:r>
      <w:r w:rsidRPr="00BF6F9C">
        <w:rPr>
          <w:rFonts w:cs="Calibri"/>
          <w:i/>
          <w:sz w:val="20"/>
          <w:szCs w:val="21"/>
          <w:lang w:val="nl-NL"/>
        </w:rPr>
        <w:t xml:space="preserve">maanden hebben </w:t>
      </w:r>
      <w:r w:rsidR="0069381B" w:rsidRPr="00BF6F9C">
        <w:rPr>
          <w:rFonts w:cs="Calibri"/>
          <w:i/>
          <w:color w:val="000000"/>
          <w:sz w:val="20"/>
          <w:szCs w:val="21"/>
          <w:lang w:val="nl-NL"/>
        </w:rPr>
        <w:t xml:space="preserve">14 </w:t>
      </w:r>
      <w:r w:rsidRPr="00BF6F9C">
        <w:rPr>
          <w:rFonts w:cs="Calibri"/>
          <w:i/>
          <w:color w:val="000000"/>
          <w:sz w:val="20"/>
          <w:szCs w:val="21"/>
          <w:lang w:val="nl-NL"/>
        </w:rPr>
        <w:t xml:space="preserve">Europese markttoezichthoudende overheden en Turkije samengewerkt en (onder coördinatie van </w:t>
      </w:r>
      <w:hyperlink r:id="rId8" w:history="1">
        <w:r w:rsidRPr="00BF6F9C">
          <w:rPr>
            <w:rStyle w:val="Hyperlink"/>
            <w:rFonts w:cs="Calibri"/>
            <w:i/>
            <w:sz w:val="20"/>
            <w:szCs w:val="21"/>
            <w:lang w:val="nl-NL"/>
          </w:rPr>
          <w:t>PROSAFE</w:t>
        </w:r>
      </w:hyperlink>
      <w:r w:rsidRPr="00BF6F9C">
        <w:rPr>
          <w:rFonts w:cs="Calibri"/>
          <w:i/>
          <w:color w:val="000000"/>
          <w:sz w:val="20"/>
          <w:szCs w:val="21"/>
          <w:lang w:val="nl-NL"/>
        </w:rPr>
        <w:t xml:space="preserve">) de </w:t>
      </w:r>
      <w:r w:rsidR="0069381B" w:rsidRPr="00BF6F9C">
        <w:rPr>
          <w:i/>
          <w:noProof/>
          <w:color w:val="000000"/>
          <w:sz w:val="20"/>
          <w:szCs w:val="21"/>
          <w:lang w:val="nl-NL"/>
        </w:rPr>
        <w:t>Market Surveillance Action on Tyres 2015</w:t>
      </w:r>
      <w:r w:rsidR="00DE3A8E" w:rsidRPr="00BF6F9C">
        <w:rPr>
          <w:i/>
          <w:noProof/>
          <w:color w:val="000000"/>
          <w:sz w:val="20"/>
          <w:szCs w:val="21"/>
          <w:lang w:val="nl-NL"/>
        </w:rPr>
        <w:t xml:space="preserve"> (</w:t>
      </w:r>
      <w:r w:rsidRPr="00BF6F9C">
        <w:rPr>
          <w:i/>
          <w:noProof/>
          <w:color w:val="000000"/>
          <w:sz w:val="20"/>
          <w:szCs w:val="21"/>
          <w:lang w:val="nl-NL"/>
        </w:rPr>
        <w:t xml:space="preserve">Actie inzake Markttoezicht op banden of </w:t>
      </w:r>
      <w:r w:rsidR="00DE3A8E" w:rsidRPr="00BF6F9C">
        <w:rPr>
          <w:i/>
          <w:noProof/>
          <w:color w:val="000000"/>
          <w:sz w:val="20"/>
          <w:szCs w:val="21"/>
          <w:lang w:val="nl-NL"/>
        </w:rPr>
        <w:t>MSTyr15</w:t>
      </w:r>
      <w:r w:rsidR="00D31FBF" w:rsidRPr="00BF6F9C">
        <w:rPr>
          <w:i/>
          <w:noProof/>
          <w:color w:val="000000"/>
          <w:sz w:val="20"/>
          <w:szCs w:val="21"/>
          <w:lang w:val="nl-NL"/>
        </w:rPr>
        <w:t>)</w:t>
      </w:r>
      <w:r w:rsidR="00ED5470" w:rsidRPr="00BF6F9C">
        <w:rPr>
          <w:rFonts w:cs="Calibri"/>
          <w:i/>
          <w:sz w:val="20"/>
          <w:szCs w:val="21"/>
          <w:lang w:val="nl-NL"/>
        </w:rPr>
        <w:t xml:space="preserve"> </w:t>
      </w:r>
      <w:r w:rsidRPr="00BF6F9C">
        <w:rPr>
          <w:rFonts w:cs="Calibri"/>
          <w:i/>
          <w:sz w:val="20"/>
          <w:szCs w:val="21"/>
          <w:lang w:val="nl-NL"/>
        </w:rPr>
        <w:t xml:space="preserve">tot een goed einde gebracht. </w:t>
      </w:r>
      <w:r w:rsidRPr="00BF6F9C">
        <w:rPr>
          <w:i/>
          <w:noProof/>
          <w:color w:val="000000"/>
          <w:sz w:val="20"/>
          <w:szCs w:val="21"/>
          <w:lang w:val="nl-NL"/>
        </w:rPr>
        <w:t xml:space="preserve">Het doel van dit </w:t>
      </w:r>
      <w:hyperlink r:id="rId9" w:history="1">
        <w:r w:rsidR="00ED5470" w:rsidRPr="00BF6F9C">
          <w:rPr>
            <w:rStyle w:val="Hyperlink"/>
            <w:i/>
            <w:noProof/>
            <w:sz w:val="20"/>
            <w:szCs w:val="21"/>
            <w:lang w:val="nl-NL"/>
          </w:rPr>
          <w:t>H2020</w:t>
        </w:r>
      </w:hyperlink>
      <w:r w:rsidR="00ED5470" w:rsidRPr="00BF6F9C">
        <w:rPr>
          <w:i/>
          <w:noProof/>
          <w:color w:val="000000"/>
          <w:sz w:val="20"/>
          <w:szCs w:val="21"/>
          <w:lang w:val="nl-NL"/>
        </w:rPr>
        <w:t xml:space="preserve"> project</w:t>
      </w:r>
      <w:r w:rsidR="00DE3A8E" w:rsidRPr="00BF6F9C">
        <w:rPr>
          <w:i/>
          <w:noProof/>
          <w:color w:val="000000"/>
          <w:sz w:val="20"/>
          <w:szCs w:val="21"/>
          <w:lang w:val="nl-NL"/>
        </w:rPr>
        <w:t xml:space="preserve"> </w:t>
      </w:r>
      <w:r w:rsidRPr="00BF6F9C">
        <w:rPr>
          <w:i/>
          <w:noProof/>
          <w:color w:val="000000"/>
          <w:sz w:val="20"/>
          <w:szCs w:val="21"/>
          <w:lang w:val="nl-NL"/>
        </w:rPr>
        <w:t xml:space="preserve">was, de werking van de Europese Eenheidsmarkt te verbeteren door ervoor te zorgen dat de regelgevende maatregelen rond autobanden wel degelijk worden afgedwongen. </w:t>
      </w:r>
    </w:p>
    <w:p w14:paraId="2C7C6112" w14:textId="77777777" w:rsidR="0069381B" w:rsidRPr="00BF6F9C" w:rsidRDefault="0069381B" w:rsidP="0069381B">
      <w:pPr>
        <w:jc w:val="both"/>
        <w:rPr>
          <w:sz w:val="20"/>
          <w:lang w:val="nl-NL"/>
        </w:rPr>
      </w:pPr>
    </w:p>
    <w:p w14:paraId="3AA4C495" w14:textId="728370B6" w:rsidR="00176AB5" w:rsidRPr="00BF6F9C" w:rsidRDefault="00CF54C7" w:rsidP="001218CB">
      <w:pPr>
        <w:jc w:val="both"/>
        <w:rPr>
          <w:noProof/>
          <w:sz w:val="20"/>
          <w:szCs w:val="21"/>
          <w:lang w:val="nl-NL"/>
        </w:rPr>
      </w:pPr>
      <w:hyperlink r:id="rId10" w:history="1">
        <w:r w:rsidR="0069381B" w:rsidRPr="00BF6F9C">
          <w:rPr>
            <w:rStyle w:val="Hyperlink"/>
            <w:rFonts w:cs="Calibri"/>
            <w:sz w:val="20"/>
            <w:szCs w:val="21"/>
            <w:lang w:val="nl-NL"/>
          </w:rPr>
          <w:t>MSTyr15</w:t>
        </w:r>
      </w:hyperlink>
      <w:r w:rsidR="0069381B" w:rsidRPr="00BF6F9C">
        <w:rPr>
          <w:rFonts w:cs="Calibri"/>
          <w:sz w:val="20"/>
          <w:szCs w:val="21"/>
          <w:lang w:val="nl-NL"/>
        </w:rPr>
        <w:t xml:space="preserve"> </w:t>
      </w:r>
      <w:r w:rsidR="00415319" w:rsidRPr="00BF6F9C">
        <w:rPr>
          <w:rFonts w:cs="Calibri"/>
          <w:sz w:val="20"/>
          <w:szCs w:val="21"/>
          <w:lang w:val="nl-NL"/>
        </w:rPr>
        <w:t xml:space="preserve">wordt gefinancierd door de  </w:t>
      </w:r>
      <w:r w:rsidR="006768C0" w:rsidRPr="00BF6F9C">
        <w:rPr>
          <w:rFonts w:cs="Calibri"/>
          <w:b/>
          <w:color w:val="0A3296"/>
          <w:sz w:val="20"/>
          <w:szCs w:val="21"/>
          <w:lang w:val="nl-NL"/>
        </w:rPr>
        <w:t>Europe</w:t>
      </w:r>
      <w:r w:rsidR="00415319" w:rsidRPr="00BF6F9C">
        <w:rPr>
          <w:rFonts w:cs="Calibri"/>
          <w:b/>
          <w:color w:val="0A3296"/>
          <w:sz w:val="20"/>
          <w:szCs w:val="21"/>
          <w:lang w:val="nl-NL"/>
        </w:rPr>
        <w:t>se</w:t>
      </w:r>
      <w:r w:rsidR="006768C0" w:rsidRPr="00BF6F9C">
        <w:rPr>
          <w:rFonts w:cs="Calibri"/>
          <w:b/>
          <w:color w:val="0A3296"/>
          <w:sz w:val="20"/>
          <w:szCs w:val="21"/>
          <w:lang w:val="nl-NL"/>
        </w:rPr>
        <w:t xml:space="preserve"> Uni</w:t>
      </w:r>
      <w:r w:rsidR="00415319" w:rsidRPr="00BF6F9C">
        <w:rPr>
          <w:rFonts w:cs="Calibri"/>
          <w:b/>
          <w:color w:val="0A3296"/>
          <w:sz w:val="20"/>
          <w:szCs w:val="21"/>
          <w:lang w:val="nl-NL"/>
        </w:rPr>
        <w:t>e</w:t>
      </w:r>
      <w:r w:rsidR="006768C0" w:rsidRPr="00BF6F9C">
        <w:rPr>
          <w:rFonts w:cs="Calibri"/>
          <w:color w:val="0A3296"/>
          <w:sz w:val="20"/>
          <w:szCs w:val="21"/>
          <w:lang w:val="nl-NL"/>
        </w:rPr>
        <w:t xml:space="preserve"> </w:t>
      </w:r>
      <w:r w:rsidR="00415319" w:rsidRPr="00BF6F9C">
        <w:rPr>
          <w:rFonts w:cs="Calibri"/>
          <w:sz w:val="20"/>
          <w:szCs w:val="21"/>
          <w:lang w:val="nl-NL"/>
        </w:rPr>
        <w:t xml:space="preserve">en </w:t>
      </w:r>
      <w:r w:rsidR="004D18AB" w:rsidRPr="00BF6F9C">
        <w:rPr>
          <w:rFonts w:cs="Calibri"/>
          <w:sz w:val="20"/>
          <w:szCs w:val="21"/>
          <w:lang w:val="nl-NL"/>
        </w:rPr>
        <w:t xml:space="preserve">liep van maart 2016 tot eind juni 2018. Bij dit project waren volgende landen betrokken: </w:t>
      </w:r>
      <w:r w:rsidR="004D18AB" w:rsidRPr="00BF6F9C">
        <w:rPr>
          <w:rFonts w:cs="Calibri"/>
          <w:color w:val="000000"/>
          <w:sz w:val="20"/>
          <w:szCs w:val="20"/>
          <w:lang w:val="nl-NL"/>
        </w:rPr>
        <w:t>België</w:t>
      </w:r>
      <w:r w:rsidR="00082D0B" w:rsidRPr="00BF6F9C">
        <w:rPr>
          <w:rFonts w:cs="Calibri"/>
          <w:color w:val="000000"/>
          <w:sz w:val="20"/>
          <w:szCs w:val="20"/>
          <w:lang w:val="nl-NL"/>
        </w:rPr>
        <w:t>, Bulgari</w:t>
      </w:r>
      <w:r w:rsidR="004D18AB" w:rsidRPr="00BF6F9C">
        <w:rPr>
          <w:rFonts w:cs="Calibri"/>
          <w:color w:val="000000"/>
          <w:sz w:val="20"/>
          <w:szCs w:val="20"/>
          <w:lang w:val="nl-NL"/>
        </w:rPr>
        <w:t xml:space="preserve">je, Kroatië, Estland, Finland, Duitsland, Ierland, Letland, Litouwen, </w:t>
      </w:r>
      <w:r w:rsidR="004D18AB" w:rsidRPr="00BF6F9C">
        <w:rPr>
          <w:rFonts w:cs="Calibri"/>
          <w:sz w:val="20"/>
          <w:szCs w:val="20"/>
          <w:lang w:val="nl-NL"/>
        </w:rPr>
        <w:t>Luxemburg, Polen</w:t>
      </w:r>
      <w:r w:rsidR="00082D0B" w:rsidRPr="00BF6F9C">
        <w:rPr>
          <w:rFonts w:cs="Calibri"/>
          <w:sz w:val="20"/>
          <w:szCs w:val="20"/>
          <w:lang w:val="nl-NL"/>
        </w:rPr>
        <w:t xml:space="preserve">, </w:t>
      </w:r>
      <w:r w:rsidR="004D18AB" w:rsidRPr="00BF6F9C">
        <w:rPr>
          <w:rFonts w:cs="Calibri"/>
          <w:sz w:val="20"/>
          <w:szCs w:val="20"/>
          <w:lang w:val="nl-NL"/>
        </w:rPr>
        <w:t>Roemenië, Spanje, Zweden en Turkije</w:t>
      </w:r>
      <w:r w:rsidR="001A7CD2" w:rsidRPr="00BF6F9C">
        <w:rPr>
          <w:rFonts w:cs="Calibri"/>
          <w:sz w:val="20"/>
          <w:szCs w:val="20"/>
          <w:lang w:val="nl-NL"/>
        </w:rPr>
        <w:t>.</w:t>
      </w:r>
    </w:p>
    <w:p w14:paraId="5E16682F" w14:textId="77777777" w:rsidR="00176AB5" w:rsidRPr="00BF6F9C" w:rsidRDefault="00176AB5" w:rsidP="0069381B">
      <w:pPr>
        <w:pStyle w:val="CommentText"/>
        <w:jc w:val="both"/>
        <w:rPr>
          <w:lang w:val="nl-NL"/>
        </w:rPr>
      </w:pPr>
    </w:p>
    <w:p w14:paraId="1CA7CE09" w14:textId="7AA01051" w:rsidR="00176AB5" w:rsidRPr="00BF6F9C" w:rsidRDefault="004D18AB" w:rsidP="00176AB5">
      <w:pPr>
        <w:pStyle w:val="CommentText"/>
        <w:jc w:val="both"/>
        <w:rPr>
          <w:rFonts w:cs="Calibri"/>
          <w:szCs w:val="21"/>
          <w:lang w:val="nl-NL"/>
        </w:rPr>
      </w:pPr>
      <w:r w:rsidRPr="00BF6F9C">
        <w:rPr>
          <w:rFonts w:cs="Calibri"/>
          <w:szCs w:val="21"/>
          <w:lang w:val="nl-NL"/>
        </w:rPr>
        <w:t xml:space="preserve">In totaal werden er </w:t>
      </w:r>
      <w:r w:rsidR="00176AB5" w:rsidRPr="00BF6F9C">
        <w:rPr>
          <w:rFonts w:cs="Calibri"/>
          <w:szCs w:val="21"/>
          <w:lang w:val="nl-NL"/>
        </w:rPr>
        <w:t xml:space="preserve">12.241 </w:t>
      </w:r>
      <w:r w:rsidR="001A7CD2" w:rsidRPr="00BF6F9C">
        <w:rPr>
          <w:rFonts w:cs="Calibri"/>
          <w:szCs w:val="21"/>
          <w:lang w:val="nl-NL"/>
        </w:rPr>
        <w:t xml:space="preserve">labels </w:t>
      </w:r>
      <w:r w:rsidRPr="00BF6F9C">
        <w:rPr>
          <w:rFonts w:cs="Calibri"/>
          <w:szCs w:val="21"/>
          <w:lang w:val="nl-NL"/>
        </w:rPr>
        <w:t xml:space="preserve">op </w:t>
      </w:r>
      <w:r w:rsidR="009A400C" w:rsidRPr="00BF6F9C">
        <w:rPr>
          <w:rFonts w:cs="Calibri"/>
          <w:szCs w:val="21"/>
          <w:lang w:val="nl-NL"/>
        </w:rPr>
        <w:t xml:space="preserve">C1 </w:t>
      </w:r>
      <w:r w:rsidRPr="00BF6F9C">
        <w:rPr>
          <w:rFonts w:cs="Calibri"/>
          <w:szCs w:val="21"/>
          <w:lang w:val="nl-NL"/>
        </w:rPr>
        <w:t>banden voor passagier</w:t>
      </w:r>
      <w:r w:rsidR="00415359">
        <w:rPr>
          <w:rFonts w:cs="Calibri"/>
          <w:szCs w:val="21"/>
          <w:lang w:val="nl-NL"/>
        </w:rPr>
        <w:t xml:space="preserve">svoertuigen </w:t>
      </w:r>
      <w:r w:rsidRPr="00BF6F9C">
        <w:rPr>
          <w:rFonts w:cs="Calibri"/>
          <w:szCs w:val="21"/>
          <w:lang w:val="nl-NL"/>
        </w:rPr>
        <w:t>gecontroleerd door de deelnemende markttoezichthoudende overheden (</w:t>
      </w:r>
      <w:r w:rsidR="00176AB5" w:rsidRPr="00BF6F9C">
        <w:rPr>
          <w:rFonts w:cs="Calibri"/>
          <w:szCs w:val="21"/>
          <w:lang w:val="nl-NL"/>
        </w:rPr>
        <w:t>M</w:t>
      </w:r>
      <w:r w:rsidRPr="00BF6F9C">
        <w:rPr>
          <w:rFonts w:cs="Calibri"/>
          <w:szCs w:val="21"/>
          <w:lang w:val="nl-NL"/>
        </w:rPr>
        <w:t xml:space="preserve">arket Surveillance Authorities of </w:t>
      </w:r>
      <w:r w:rsidR="00176AB5" w:rsidRPr="00BF6F9C">
        <w:rPr>
          <w:rFonts w:cs="Calibri"/>
          <w:szCs w:val="21"/>
          <w:lang w:val="nl-NL"/>
        </w:rPr>
        <w:t>MSAs)</w:t>
      </w:r>
      <w:r w:rsidR="00415359">
        <w:rPr>
          <w:rFonts w:cs="Calibri"/>
          <w:szCs w:val="21"/>
          <w:lang w:val="nl-NL"/>
        </w:rPr>
        <w:t>,</w:t>
      </w:r>
      <w:r w:rsidR="00176AB5" w:rsidRPr="00BF6F9C">
        <w:rPr>
          <w:rFonts w:cs="Calibri"/>
          <w:szCs w:val="21"/>
          <w:lang w:val="nl-NL"/>
        </w:rPr>
        <w:t xml:space="preserve"> </w:t>
      </w:r>
      <w:r w:rsidRPr="00BF6F9C">
        <w:rPr>
          <w:rFonts w:cs="Calibri"/>
          <w:szCs w:val="21"/>
          <w:lang w:val="nl-NL"/>
        </w:rPr>
        <w:t>om na te gaan of de EG-regelgevende standaarden werden nageleefd. Op basis van een EU-marktanalyse werden er labelcontroles gedaan op banden voor zowel normaal gebruik als voor gebruik in extreme weersomstandigheden. In tota</w:t>
      </w:r>
      <w:r w:rsidR="00B6447C" w:rsidRPr="00BF6F9C">
        <w:rPr>
          <w:rFonts w:cs="Calibri"/>
          <w:szCs w:val="21"/>
          <w:lang w:val="nl-NL"/>
        </w:rPr>
        <w:t>a</w:t>
      </w:r>
      <w:r w:rsidRPr="00BF6F9C">
        <w:rPr>
          <w:rFonts w:cs="Calibri"/>
          <w:szCs w:val="21"/>
          <w:lang w:val="nl-NL"/>
        </w:rPr>
        <w:t xml:space="preserve">l werden er </w:t>
      </w:r>
      <w:r w:rsidR="00176AB5" w:rsidRPr="00BF6F9C">
        <w:rPr>
          <w:rFonts w:cs="Calibri"/>
          <w:szCs w:val="21"/>
          <w:lang w:val="nl-NL"/>
        </w:rPr>
        <w:t xml:space="preserve">2.888 (23.5%) </w:t>
      </w:r>
      <w:r w:rsidRPr="00BF6F9C">
        <w:rPr>
          <w:rFonts w:cs="Calibri"/>
          <w:szCs w:val="21"/>
          <w:lang w:val="nl-NL"/>
        </w:rPr>
        <w:t xml:space="preserve">banden onderzocht in webwinkels, en  </w:t>
      </w:r>
      <w:r w:rsidR="001A7CD2" w:rsidRPr="00BF6F9C">
        <w:rPr>
          <w:rFonts w:cs="Calibri"/>
          <w:szCs w:val="21"/>
          <w:lang w:val="nl-NL"/>
        </w:rPr>
        <w:t xml:space="preserve">627 (21.7%) </w:t>
      </w:r>
      <w:r w:rsidRPr="00BF6F9C">
        <w:rPr>
          <w:rFonts w:cs="Calibri"/>
          <w:szCs w:val="21"/>
          <w:lang w:val="nl-NL"/>
        </w:rPr>
        <w:t xml:space="preserve">daarvan waren niet-conform. Het onderzoek werd ook gevoerd in bandencentrales, waar  </w:t>
      </w:r>
      <w:r w:rsidR="005E4943" w:rsidRPr="00BF6F9C">
        <w:rPr>
          <w:rFonts w:cs="Calibri"/>
          <w:szCs w:val="21"/>
          <w:lang w:val="nl-NL"/>
        </w:rPr>
        <w:t xml:space="preserve">568 (6.1%) </w:t>
      </w:r>
      <w:r w:rsidRPr="00BF6F9C">
        <w:rPr>
          <w:rFonts w:cs="Calibri"/>
          <w:szCs w:val="21"/>
          <w:lang w:val="nl-NL"/>
        </w:rPr>
        <w:t xml:space="preserve">op </w:t>
      </w:r>
      <w:r w:rsidR="005E4943" w:rsidRPr="00BF6F9C">
        <w:rPr>
          <w:rFonts w:cs="Calibri"/>
          <w:szCs w:val="21"/>
          <w:lang w:val="nl-NL"/>
        </w:rPr>
        <w:t>9.353</w:t>
      </w:r>
      <w:r w:rsidR="00BC060D" w:rsidRPr="00BF6F9C">
        <w:rPr>
          <w:rFonts w:cs="Calibri"/>
          <w:szCs w:val="21"/>
          <w:lang w:val="nl-NL"/>
        </w:rPr>
        <w:t xml:space="preserve"> </w:t>
      </w:r>
      <w:r w:rsidRPr="00BF6F9C">
        <w:rPr>
          <w:rFonts w:cs="Calibri"/>
          <w:szCs w:val="21"/>
          <w:lang w:val="nl-NL"/>
        </w:rPr>
        <w:t xml:space="preserve">gecontroleerde banden niet-conform bleken te zijn. De belangrijkste non-conformiteiten waren dat het label ofwel ontbrak, ofwel het foute formaat had. </w:t>
      </w:r>
    </w:p>
    <w:p w14:paraId="6C97E584" w14:textId="77777777" w:rsidR="00670276" w:rsidRPr="00BF6F9C" w:rsidRDefault="00670276" w:rsidP="00176AB5">
      <w:pPr>
        <w:pStyle w:val="CommentText"/>
        <w:jc w:val="both"/>
        <w:rPr>
          <w:rFonts w:cs="Calibri"/>
          <w:szCs w:val="21"/>
          <w:lang w:val="nl-NL"/>
        </w:rPr>
      </w:pPr>
    </w:p>
    <w:p w14:paraId="1A4CE647" w14:textId="7B4B7811" w:rsidR="00176AB5" w:rsidRPr="00BF6F9C" w:rsidRDefault="00B6447C" w:rsidP="00176AB5">
      <w:pPr>
        <w:pStyle w:val="CommentText"/>
        <w:jc w:val="both"/>
        <w:rPr>
          <w:rFonts w:cs="Calibri"/>
          <w:szCs w:val="21"/>
          <w:lang w:val="nl-NL"/>
        </w:rPr>
      </w:pPr>
      <w:r w:rsidRPr="00BF6F9C">
        <w:rPr>
          <w:rFonts w:cs="Calibri"/>
          <w:szCs w:val="21"/>
          <w:lang w:val="nl-NL"/>
        </w:rPr>
        <w:t xml:space="preserve">Er werd een steekproef van  </w:t>
      </w:r>
      <w:r w:rsidR="00670276" w:rsidRPr="00BF6F9C">
        <w:rPr>
          <w:rFonts w:cs="Calibri"/>
          <w:szCs w:val="21"/>
          <w:lang w:val="nl-NL"/>
        </w:rPr>
        <w:t xml:space="preserve">131 </w:t>
      </w:r>
      <w:r w:rsidRPr="00BF6F9C">
        <w:rPr>
          <w:rFonts w:cs="Calibri"/>
          <w:szCs w:val="21"/>
          <w:lang w:val="nl-NL"/>
        </w:rPr>
        <w:t>banden voor passagier</w:t>
      </w:r>
      <w:r w:rsidR="00644089" w:rsidRPr="00BF6F9C">
        <w:rPr>
          <w:rFonts w:cs="Calibri"/>
          <w:szCs w:val="21"/>
          <w:lang w:val="nl-NL"/>
        </w:rPr>
        <w:t>s</w:t>
      </w:r>
      <w:r w:rsidRPr="00BF6F9C">
        <w:rPr>
          <w:rFonts w:cs="Calibri"/>
          <w:szCs w:val="21"/>
          <w:lang w:val="nl-NL"/>
        </w:rPr>
        <w:t xml:space="preserve">voertuigen naar een erkend laboratorium gestuurd om te worden getest </w:t>
      </w:r>
      <w:r w:rsidRPr="00BF6F9C">
        <w:rPr>
          <w:lang w:val="nl-NL"/>
        </w:rPr>
        <w:t xml:space="preserve">op hun conformiteit met Verordening (EC) 1222/2009 van de Europese Commissie </w:t>
      </w:r>
      <w:r w:rsidR="00351D9E" w:rsidRPr="00BF6F9C">
        <w:rPr>
          <w:rFonts w:cs="Calibri"/>
          <w:szCs w:val="21"/>
          <w:vertAlign w:val="superscript"/>
          <w:lang w:val="nl-NL"/>
        </w:rPr>
        <w:t>(</w:t>
      </w:r>
      <w:r w:rsidR="00670276" w:rsidRPr="00BF6F9C">
        <w:rPr>
          <w:rStyle w:val="FootnoteReference"/>
          <w:lang w:val="nl-NL"/>
        </w:rPr>
        <w:footnoteReference w:id="1"/>
      </w:r>
      <w:r w:rsidR="00351D9E" w:rsidRPr="00BF6F9C">
        <w:rPr>
          <w:rFonts w:cs="Calibri"/>
          <w:szCs w:val="21"/>
          <w:vertAlign w:val="superscript"/>
          <w:lang w:val="nl-NL"/>
        </w:rPr>
        <w:t>)</w:t>
      </w:r>
      <w:r w:rsidRPr="00BF6F9C">
        <w:rPr>
          <w:rFonts w:cs="Calibri"/>
          <w:szCs w:val="21"/>
          <w:vertAlign w:val="superscript"/>
          <w:lang w:val="nl-NL"/>
        </w:rPr>
        <w:t xml:space="preserve"> </w:t>
      </w:r>
      <w:r w:rsidRPr="00BF6F9C">
        <w:rPr>
          <w:bCs/>
          <w:lang w:val="nl-NL"/>
        </w:rPr>
        <w:t>wat de gripklasse van banden op nat wegdek en</w:t>
      </w:r>
      <w:r w:rsidR="00E2612C" w:rsidRPr="00BF6F9C">
        <w:rPr>
          <w:bCs/>
          <w:lang w:val="nl-NL"/>
        </w:rPr>
        <w:t xml:space="preserve"> </w:t>
      </w:r>
      <w:r w:rsidRPr="00BF6F9C">
        <w:rPr>
          <w:bCs/>
          <w:lang w:val="nl-NL"/>
        </w:rPr>
        <w:t>de rolweerstand betreft</w:t>
      </w:r>
      <w:r w:rsidR="00670276" w:rsidRPr="00BF6F9C">
        <w:rPr>
          <w:lang w:val="nl-NL"/>
        </w:rPr>
        <w:t xml:space="preserve">. </w:t>
      </w:r>
      <w:r w:rsidR="00E2612C" w:rsidRPr="00BF6F9C">
        <w:rPr>
          <w:lang w:val="nl-NL"/>
        </w:rPr>
        <w:t xml:space="preserve">Na herhaaldelijke tests bleken vijf (5) modellen </w:t>
      </w:r>
      <w:r w:rsidR="00670276" w:rsidRPr="00BF6F9C">
        <w:rPr>
          <w:rFonts w:cs="Calibri"/>
          <w:szCs w:val="21"/>
          <w:lang w:val="nl-NL"/>
        </w:rPr>
        <w:t xml:space="preserve">(3.8%) </w:t>
      </w:r>
      <w:r w:rsidR="00E2612C" w:rsidRPr="00BF6F9C">
        <w:rPr>
          <w:rFonts w:cs="Calibri"/>
          <w:szCs w:val="21"/>
          <w:lang w:val="nl-NL"/>
        </w:rPr>
        <w:t xml:space="preserve">nog steeds niet-conform te zijn op het gebied van grip, en negen (9) modellen </w:t>
      </w:r>
      <w:r w:rsidR="00670276" w:rsidRPr="00BF6F9C">
        <w:rPr>
          <w:rFonts w:cs="Calibri"/>
          <w:szCs w:val="21"/>
          <w:lang w:val="nl-NL"/>
        </w:rPr>
        <w:t xml:space="preserve">(6.9%) </w:t>
      </w:r>
      <w:r w:rsidR="00E2612C" w:rsidRPr="00BF6F9C">
        <w:rPr>
          <w:rFonts w:cs="Calibri"/>
          <w:szCs w:val="21"/>
          <w:lang w:val="nl-NL"/>
        </w:rPr>
        <w:t xml:space="preserve">voldeden niet aan de vereisten inzake rolweerstand. Er waren geen banden die zowel voor grip als voor rolweerstand niet voldeden. </w:t>
      </w:r>
    </w:p>
    <w:p w14:paraId="132AE5DF" w14:textId="77777777" w:rsidR="00670276" w:rsidRPr="00BF6F9C" w:rsidRDefault="00670276" w:rsidP="00176AB5">
      <w:pPr>
        <w:pStyle w:val="CommentText"/>
        <w:jc w:val="both"/>
        <w:rPr>
          <w:rFonts w:cs="Calibri"/>
          <w:sz w:val="18"/>
          <w:szCs w:val="21"/>
          <w:lang w:val="nl-NL"/>
        </w:rPr>
      </w:pPr>
    </w:p>
    <w:p w14:paraId="1C62A621" w14:textId="699EDB46" w:rsidR="00542FC5" w:rsidRPr="00BF6F9C" w:rsidRDefault="00E2612C" w:rsidP="00542FC5">
      <w:pPr>
        <w:jc w:val="both"/>
        <w:rPr>
          <w:rFonts w:cs="Calibri"/>
          <w:sz w:val="20"/>
          <w:szCs w:val="20"/>
          <w:lang w:val="nl-NL"/>
        </w:rPr>
      </w:pPr>
      <w:r w:rsidRPr="00BF6F9C">
        <w:rPr>
          <w:rFonts w:cs="Calibri"/>
          <w:sz w:val="20"/>
          <w:szCs w:val="20"/>
          <w:lang w:val="nl-NL"/>
        </w:rPr>
        <w:t xml:space="preserve">Bovendien waren </w:t>
      </w:r>
      <w:r w:rsidR="009D195C" w:rsidRPr="00BF6F9C">
        <w:rPr>
          <w:rFonts w:cs="Calibri"/>
          <w:sz w:val="20"/>
          <w:szCs w:val="20"/>
          <w:lang w:val="nl-NL"/>
        </w:rPr>
        <w:t xml:space="preserve">38% (334) </w:t>
      </w:r>
      <w:r w:rsidRPr="00BF6F9C">
        <w:rPr>
          <w:rFonts w:cs="Calibri"/>
          <w:sz w:val="20"/>
          <w:szCs w:val="20"/>
          <w:lang w:val="nl-NL"/>
        </w:rPr>
        <w:t xml:space="preserve">van de </w:t>
      </w:r>
      <w:r w:rsidR="00B4763F" w:rsidRPr="00BF6F9C">
        <w:rPr>
          <w:rFonts w:cs="Calibri"/>
          <w:sz w:val="20"/>
          <w:szCs w:val="20"/>
          <w:lang w:val="nl-NL"/>
        </w:rPr>
        <w:t>876</w:t>
      </w:r>
      <w:r w:rsidR="00B4763F" w:rsidRPr="00BF6F9C">
        <w:rPr>
          <w:rFonts w:cs="Calibri"/>
          <w:color w:val="FF0000"/>
          <w:sz w:val="20"/>
          <w:szCs w:val="20"/>
          <w:lang w:val="nl-NL"/>
        </w:rPr>
        <w:t xml:space="preserve"> </w:t>
      </w:r>
      <w:r w:rsidRPr="00BF6F9C">
        <w:rPr>
          <w:rFonts w:cs="Calibri"/>
          <w:sz w:val="20"/>
          <w:szCs w:val="20"/>
          <w:lang w:val="nl-NL"/>
        </w:rPr>
        <w:t>gecontroleerde bundels technische documentatie ofwel onvolledig, ofwel werden ze niet tijdig afgeleverd.</w:t>
      </w:r>
    </w:p>
    <w:p w14:paraId="70BA5F29" w14:textId="77777777" w:rsidR="00E2612C" w:rsidRPr="00BF6F9C" w:rsidRDefault="00E2612C" w:rsidP="00542FC5">
      <w:pPr>
        <w:jc w:val="both"/>
        <w:rPr>
          <w:rFonts w:cs="Calibri"/>
          <w:szCs w:val="21"/>
          <w:lang w:val="nl-NL"/>
        </w:rPr>
      </w:pPr>
    </w:p>
    <w:p w14:paraId="15C8E95E" w14:textId="7C4A7B32" w:rsidR="00A43E32" w:rsidRPr="00BF6F9C" w:rsidRDefault="00644089" w:rsidP="00A43E32">
      <w:pPr>
        <w:jc w:val="both"/>
        <w:rPr>
          <w:rFonts w:cs="Calibri"/>
          <w:sz w:val="20"/>
          <w:szCs w:val="20"/>
          <w:lang w:val="nl-NL"/>
        </w:rPr>
      </w:pPr>
      <w:r w:rsidRPr="00BF6F9C">
        <w:rPr>
          <w:rFonts w:cs="Calibri"/>
          <w:sz w:val="20"/>
          <w:szCs w:val="20"/>
          <w:lang w:val="nl-NL"/>
        </w:rPr>
        <w:t>Ingevolge deze activiteit moesten er geen banden van de markt worden gehaald. Er werd wel overeengekomen een aantal handhavingsacties te ondernemen, waaronder in totaal 1.122 brieven die werden verzonden naar</w:t>
      </w:r>
      <w:r w:rsidR="00415359">
        <w:rPr>
          <w:rFonts w:cs="Calibri"/>
          <w:sz w:val="20"/>
          <w:szCs w:val="20"/>
          <w:lang w:val="nl-NL"/>
        </w:rPr>
        <w:t xml:space="preserve"> economische operatoren, </w:t>
      </w:r>
      <w:r w:rsidRPr="00BF6F9C">
        <w:rPr>
          <w:rFonts w:cs="Calibri"/>
          <w:sz w:val="20"/>
          <w:szCs w:val="20"/>
          <w:lang w:val="nl-NL"/>
        </w:rPr>
        <w:t xml:space="preserve">waarin hen werd gevraagd om corrigerende maatregelen te nemen. In nog </w:t>
      </w:r>
      <w:r w:rsidRPr="00BF6F9C">
        <w:rPr>
          <w:noProof/>
          <w:sz w:val="20"/>
          <w:szCs w:val="20"/>
          <w:lang w:val="nl-NL"/>
        </w:rPr>
        <w:t xml:space="preserve"> </w:t>
      </w:r>
      <w:r w:rsidR="008535B4" w:rsidRPr="00BF6F9C">
        <w:rPr>
          <w:noProof/>
          <w:sz w:val="20"/>
          <w:szCs w:val="20"/>
          <w:lang w:val="nl-NL"/>
        </w:rPr>
        <w:t>240</w:t>
      </w:r>
      <w:r w:rsidR="00542FC5" w:rsidRPr="00BF6F9C">
        <w:rPr>
          <w:noProof/>
          <w:sz w:val="20"/>
          <w:szCs w:val="20"/>
          <w:lang w:val="nl-NL"/>
        </w:rPr>
        <w:t xml:space="preserve"> </w:t>
      </w:r>
      <w:r w:rsidRPr="00BF6F9C">
        <w:rPr>
          <w:noProof/>
          <w:sz w:val="20"/>
          <w:szCs w:val="20"/>
          <w:lang w:val="nl-NL"/>
        </w:rPr>
        <w:t>andere gevallen hebben de economische operatoren vrijwillig maatregelen genomen om de non-conformiteiten recht te zetten. Het is van belang hierbij rekening te houden met het feit dat in vele gevallen verschillende bandenmodellen aan de orde waren in dezelfde brief.</w:t>
      </w:r>
      <w:r w:rsidRPr="00BF6F9C">
        <w:rPr>
          <w:rFonts w:cs="Calibri"/>
          <w:sz w:val="20"/>
          <w:szCs w:val="20"/>
          <w:lang w:val="nl-NL"/>
        </w:rPr>
        <w:t xml:space="preserve"> We kunnen bij voorbeeld zeggen dat eenzelfde overheid slechts 39 brieven stuurde </w:t>
      </w:r>
      <w:r w:rsidR="00415359">
        <w:rPr>
          <w:rFonts w:cs="Calibri"/>
          <w:sz w:val="20"/>
          <w:szCs w:val="20"/>
          <w:lang w:val="nl-NL"/>
        </w:rPr>
        <w:t xml:space="preserve">met betrekking tot </w:t>
      </w:r>
      <w:r w:rsidR="00542FC5" w:rsidRPr="00BF6F9C">
        <w:rPr>
          <w:rFonts w:cs="Calibri"/>
          <w:sz w:val="20"/>
          <w:szCs w:val="20"/>
          <w:lang w:val="nl-NL"/>
        </w:rPr>
        <w:t xml:space="preserve">236 </w:t>
      </w:r>
      <w:r w:rsidRPr="00BF6F9C">
        <w:rPr>
          <w:rFonts w:cs="Calibri"/>
          <w:sz w:val="20"/>
          <w:szCs w:val="20"/>
          <w:lang w:val="nl-NL"/>
        </w:rPr>
        <w:t>banden</w:t>
      </w:r>
      <w:r w:rsidR="00542FC5" w:rsidRPr="00BF6F9C">
        <w:rPr>
          <w:rFonts w:cs="Calibri"/>
          <w:sz w:val="20"/>
          <w:szCs w:val="20"/>
          <w:lang w:val="nl-NL"/>
        </w:rPr>
        <w:t>.</w:t>
      </w:r>
      <w:r w:rsidR="00A43E32" w:rsidRPr="00BF6F9C">
        <w:rPr>
          <w:rFonts w:cs="Calibri"/>
          <w:sz w:val="20"/>
          <w:szCs w:val="20"/>
          <w:lang w:val="nl-NL"/>
        </w:rPr>
        <w:t xml:space="preserve"> </w:t>
      </w:r>
    </w:p>
    <w:p w14:paraId="50653695" w14:textId="77777777" w:rsidR="00415359" w:rsidRDefault="00415359" w:rsidP="00206383">
      <w:pPr>
        <w:jc w:val="both"/>
        <w:rPr>
          <w:rFonts w:cs="Calibri"/>
          <w:sz w:val="20"/>
          <w:szCs w:val="20"/>
          <w:lang w:val="nl-NL"/>
        </w:rPr>
      </w:pPr>
    </w:p>
    <w:p w14:paraId="6FC158B3" w14:textId="3071401D" w:rsidR="00176AB5" w:rsidRPr="00BF6F9C" w:rsidRDefault="00644089" w:rsidP="00206383">
      <w:pPr>
        <w:jc w:val="both"/>
        <w:rPr>
          <w:rFonts w:cs="Calibri"/>
          <w:sz w:val="20"/>
          <w:szCs w:val="20"/>
          <w:lang w:val="nl-NL"/>
        </w:rPr>
      </w:pPr>
      <w:r w:rsidRPr="00BF6F9C">
        <w:rPr>
          <w:rFonts w:cs="Calibri"/>
          <w:sz w:val="20"/>
          <w:szCs w:val="20"/>
          <w:lang w:val="nl-NL"/>
        </w:rPr>
        <w:t>Het is ook het vermelden waard dat door de aard van het proces van het markttoezicht op deze specifieke markt, handhavingsmaatregelen maanden lang in beslag kunnen nemen, zodat het tijdsbestek van deze Gezamenlijke Actie kan worden overschreden.</w:t>
      </w:r>
      <w:r w:rsidR="00A43E32" w:rsidRPr="00BF6F9C">
        <w:rPr>
          <w:rFonts w:cs="Calibri"/>
          <w:sz w:val="20"/>
          <w:szCs w:val="20"/>
          <w:lang w:val="nl-NL"/>
        </w:rPr>
        <w:t xml:space="preserve"> </w:t>
      </w:r>
    </w:p>
    <w:p w14:paraId="6774D02C" w14:textId="77777777" w:rsidR="0033257C" w:rsidRPr="00BF6F9C" w:rsidRDefault="0033257C" w:rsidP="00176AB5">
      <w:pPr>
        <w:pStyle w:val="CommentText"/>
        <w:jc w:val="both"/>
        <w:rPr>
          <w:rFonts w:cs="Calibri"/>
          <w:szCs w:val="21"/>
          <w:lang w:val="nl-NL"/>
        </w:rPr>
      </w:pPr>
    </w:p>
    <w:p w14:paraId="7D8BD0B2" w14:textId="77777777" w:rsidR="00BF6F9C" w:rsidRDefault="00BF6F9C" w:rsidP="00206383">
      <w:pPr>
        <w:pStyle w:val="CommentText"/>
        <w:jc w:val="both"/>
        <w:rPr>
          <w:rFonts w:cs="Calibri"/>
          <w:lang w:val="nl-NL"/>
        </w:rPr>
      </w:pPr>
    </w:p>
    <w:p w14:paraId="77D22F4D" w14:textId="26978691" w:rsidR="00BF6F9C" w:rsidRDefault="00BF6F9C" w:rsidP="00206383">
      <w:pPr>
        <w:pStyle w:val="CommentText"/>
        <w:jc w:val="both"/>
        <w:rPr>
          <w:rFonts w:cs="Calibri"/>
          <w:lang w:val="nl-NL"/>
        </w:rPr>
      </w:pPr>
      <w:r w:rsidRPr="00BF6F9C">
        <w:rPr>
          <w:rFonts w:cs="Calibri"/>
          <w:noProof/>
          <w:szCs w:val="21"/>
          <w:lang w:val="nl-NL"/>
        </w:rPr>
        <w:lastRenderedPageBreak/>
        <w:drawing>
          <wp:inline distT="0" distB="0" distL="0" distR="0" wp14:anchorId="1E123388" wp14:editId="3B4FAD7E">
            <wp:extent cx="4815840" cy="2178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 - Copy.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15840" cy="2178050"/>
                    </a:xfrm>
                    <a:prstGeom prst="rect">
                      <a:avLst/>
                    </a:prstGeom>
                    <a:ln>
                      <a:noFill/>
                    </a:ln>
                    <a:extLst>
                      <a:ext uri="{53640926-AAD7-44D8-BBD7-CCE9431645EC}">
                        <a14:shadowObscured xmlns:a14="http://schemas.microsoft.com/office/drawing/2010/main"/>
                      </a:ext>
                    </a:extLst>
                  </pic:spPr>
                </pic:pic>
              </a:graphicData>
            </a:graphic>
          </wp:inline>
        </w:drawing>
      </w:r>
    </w:p>
    <w:p w14:paraId="7ABF8061" w14:textId="77777777" w:rsidR="00BF6F9C" w:rsidRDefault="00BF6F9C" w:rsidP="00206383">
      <w:pPr>
        <w:pStyle w:val="CommentText"/>
        <w:jc w:val="both"/>
        <w:rPr>
          <w:rFonts w:cs="Calibri"/>
          <w:lang w:val="nl-NL"/>
        </w:rPr>
      </w:pPr>
    </w:p>
    <w:p w14:paraId="00C1D9DB" w14:textId="0F93EA18" w:rsidR="00847141" w:rsidRPr="00BF6F9C" w:rsidRDefault="00E47362" w:rsidP="00206383">
      <w:pPr>
        <w:pStyle w:val="CommentText"/>
        <w:jc w:val="both"/>
        <w:rPr>
          <w:lang w:val="nl-NL"/>
        </w:rPr>
      </w:pPr>
      <w:r w:rsidRPr="00BF6F9C">
        <w:rPr>
          <w:rFonts w:cs="Calibri"/>
          <w:lang w:val="nl-NL"/>
        </w:rPr>
        <w:t>MSTyr15 was vernieuwend op het vlak van gegevensverzameling voor markttoezicht, in die zin dat er een nieuwe datab</w:t>
      </w:r>
      <w:r w:rsidR="00415359">
        <w:rPr>
          <w:rFonts w:cs="Calibri"/>
          <w:lang w:val="nl-NL"/>
        </w:rPr>
        <w:t>ase-</w:t>
      </w:r>
      <w:r w:rsidRPr="00BF6F9C">
        <w:rPr>
          <w:rFonts w:cs="Calibri"/>
          <w:lang w:val="nl-NL"/>
        </w:rPr>
        <w:t>software werd ontwikkeld</w:t>
      </w:r>
      <w:r w:rsidR="00E76126" w:rsidRPr="00BF6F9C">
        <w:rPr>
          <w:rFonts w:cs="Calibri"/>
          <w:lang w:val="nl-NL"/>
        </w:rPr>
        <w:t xml:space="preserve">. </w:t>
      </w:r>
      <w:r w:rsidRPr="00BF6F9C">
        <w:rPr>
          <w:rFonts w:cs="Calibri"/>
          <w:lang w:val="nl-NL"/>
        </w:rPr>
        <w:t xml:space="preserve">De </w:t>
      </w:r>
      <w:r w:rsidR="00E76126" w:rsidRPr="00BF6F9C">
        <w:rPr>
          <w:rFonts w:cs="Calibri"/>
          <w:lang w:val="nl-NL"/>
        </w:rPr>
        <w:t xml:space="preserve">database </w:t>
      </w:r>
      <w:r w:rsidRPr="00BF6F9C">
        <w:rPr>
          <w:rFonts w:cs="Calibri"/>
          <w:lang w:val="nl-NL"/>
        </w:rPr>
        <w:t xml:space="preserve">hielp de handhavingsmaatregelen te harmoniseren die in de Lidstaten moesten worden genomen, en dat leidde tot een grotere betrouwbaarheid van de markt en tot meer vertrouwen van de consument. De resultaten ervan zullen rechtstreeks worden opgeladen in het  </w:t>
      </w:r>
      <w:r w:rsidR="00176AB5" w:rsidRPr="00BF6F9C">
        <w:rPr>
          <w:rFonts w:cs="Calibri"/>
          <w:lang w:val="nl-NL"/>
        </w:rPr>
        <w:t>ICSMS</w:t>
      </w:r>
      <w:r w:rsidR="00C616FE" w:rsidRPr="00BF6F9C">
        <w:rPr>
          <w:rFonts w:cs="Calibri"/>
          <w:vertAlign w:val="superscript"/>
          <w:lang w:val="nl-NL"/>
        </w:rPr>
        <w:t>(</w:t>
      </w:r>
      <w:r w:rsidR="00A759CF" w:rsidRPr="00BF6F9C">
        <w:rPr>
          <w:rStyle w:val="FootnoteReference"/>
          <w:rFonts w:cs="Calibri"/>
          <w:lang w:val="nl-NL"/>
        </w:rPr>
        <w:footnoteReference w:id="2"/>
      </w:r>
      <w:r w:rsidR="00C616FE" w:rsidRPr="00BF6F9C">
        <w:rPr>
          <w:rFonts w:cs="Calibri"/>
          <w:vertAlign w:val="superscript"/>
          <w:lang w:val="nl-NL"/>
        </w:rPr>
        <w:t>)</w:t>
      </w:r>
      <w:r w:rsidR="00176AB5" w:rsidRPr="00BF6F9C">
        <w:rPr>
          <w:rFonts w:cs="Calibri"/>
          <w:lang w:val="nl-NL"/>
        </w:rPr>
        <w:t xml:space="preserve"> </w:t>
      </w:r>
      <w:r w:rsidRPr="00BF6F9C">
        <w:rPr>
          <w:rFonts w:cs="Calibri"/>
          <w:lang w:val="nl-NL"/>
        </w:rPr>
        <w:t xml:space="preserve">system, en gedeeld met alle </w:t>
      </w:r>
      <w:r w:rsidR="00176AB5" w:rsidRPr="00BF6F9C">
        <w:rPr>
          <w:rFonts w:cs="Calibri"/>
          <w:lang w:val="nl-NL"/>
        </w:rPr>
        <w:t xml:space="preserve">MSAs </w:t>
      </w:r>
      <w:r w:rsidRPr="00BF6F9C">
        <w:rPr>
          <w:rFonts w:cs="Calibri"/>
          <w:lang w:val="nl-NL"/>
        </w:rPr>
        <w:t xml:space="preserve">in Europa zodat het mogelijk is om onmiddellijke correctiemaatregelen te nemen en zo aanzienlijke inspectiekosten te besparen op Europees niveau. De database en de aangenomen </w:t>
      </w:r>
      <w:r w:rsidR="00A360D2" w:rsidRPr="00415359">
        <w:rPr>
          <w:rFonts w:cs="Calibri"/>
          <w:i/>
          <w:lang w:val="nl-NL"/>
        </w:rPr>
        <w:t>Best Practice Guidelines</w:t>
      </w:r>
      <w:r w:rsidR="00A360D2" w:rsidRPr="00BF6F9C">
        <w:rPr>
          <w:rFonts w:cs="Calibri"/>
          <w:lang w:val="nl-NL"/>
        </w:rPr>
        <w:t xml:space="preserve"> </w:t>
      </w:r>
      <w:r w:rsidRPr="00BF6F9C">
        <w:rPr>
          <w:rFonts w:cs="Calibri"/>
          <w:lang w:val="nl-NL"/>
        </w:rPr>
        <w:t xml:space="preserve">zorgen in hun geheel voor een kostenefficiënte en coherente aanpak voor real time kennisuitwisseling tussen alle  </w:t>
      </w:r>
      <w:r w:rsidR="00176AB5" w:rsidRPr="00BF6F9C">
        <w:rPr>
          <w:rFonts w:cs="Calibri"/>
          <w:lang w:val="nl-NL"/>
        </w:rPr>
        <w:t xml:space="preserve">MSAs </w:t>
      </w:r>
      <w:r w:rsidRPr="00BF6F9C">
        <w:rPr>
          <w:rFonts w:cs="Calibri"/>
          <w:lang w:val="nl-NL"/>
        </w:rPr>
        <w:t>van Europa</w:t>
      </w:r>
      <w:r w:rsidR="00176AB5" w:rsidRPr="00BF6F9C">
        <w:rPr>
          <w:rFonts w:cs="Calibri"/>
          <w:lang w:val="nl-NL"/>
        </w:rPr>
        <w:t xml:space="preserve">. </w:t>
      </w:r>
    </w:p>
    <w:p w14:paraId="5A16CD6C" w14:textId="77777777" w:rsidR="00473101" w:rsidRPr="00BF6F9C" w:rsidRDefault="00473101" w:rsidP="00206383">
      <w:pPr>
        <w:jc w:val="both"/>
        <w:rPr>
          <w:rFonts w:cs="Calibri"/>
          <w:sz w:val="10"/>
          <w:szCs w:val="20"/>
          <w:lang w:val="nl-NL"/>
        </w:rPr>
      </w:pPr>
    </w:p>
    <w:p w14:paraId="37D39152" w14:textId="77777777" w:rsidR="00F90542" w:rsidRPr="00BF6F9C" w:rsidRDefault="00F90542" w:rsidP="00206383">
      <w:pPr>
        <w:jc w:val="both"/>
        <w:rPr>
          <w:rFonts w:cs="Calibri"/>
          <w:sz w:val="2"/>
          <w:szCs w:val="20"/>
          <w:lang w:val="nl-NL"/>
        </w:rPr>
      </w:pPr>
    </w:p>
    <w:p w14:paraId="4A7ADA4B" w14:textId="64577D97" w:rsidR="00F90542" w:rsidRDefault="00E47362" w:rsidP="00206383">
      <w:pPr>
        <w:jc w:val="both"/>
        <w:rPr>
          <w:rFonts w:cs="Calibri"/>
          <w:sz w:val="20"/>
          <w:szCs w:val="21"/>
          <w:lang w:val="nl-NL"/>
        </w:rPr>
      </w:pPr>
      <w:r w:rsidRPr="00BF6F9C">
        <w:rPr>
          <w:rFonts w:cs="Calibri"/>
          <w:sz w:val="20"/>
          <w:szCs w:val="21"/>
          <w:lang w:val="nl-NL"/>
        </w:rPr>
        <w:t xml:space="preserve">Daarnaast werden er binnen MSTyr15 </w:t>
      </w:r>
      <w:r w:rsidR="008754EE" w:rsidRPr="00BF6F9C">
        <w:rPr>
          <w:rFonts w:cs="Calibri"/>
          <w:sz w:val="20"/>
          <w:szCs w:val="21"/>
          <w:lang w:val="nl-NL"/>
        </w:rPr>
        <w:t xml:space="preserve">in 15 talen </w:t>
      </w:r>
      <w:r w:rsidRPr="00BF6F9C">
        <w:rPr>
          <w:rFonts w:cs="Calibri"/>
          <w:sz w:val="20"/>
          <w:szCs w:val="21"/>
          <w:lang w:val="nl-NL"/>
        </w:rPr>
        <w:t>opleidingsvideo’s voor labelinspectie gemaakt met als doel, vaardigheden te ontwikkelen die relevant zijn voor de scope van het project</w:t>
      </w:r>
      <w:r w:rsidR="008754EE" w:rsidRPr="00BF6F9C">
        <w:rPr>
          <w:rFonts w:cs="Calibri"/>
          <w:sz w:val="20"/>
          <w:szCs w:val="21"/>
          <w:lang w:val="nl-NL"/>
        </w:rPr>
        <w:t xml:space="preserve"> en werden er ook twee (2) opleidingsworkshops gehouden om de deelnemers voor te bereiden op het gebruik van de nieuw ontwikkelde applicatiesoftware.</w:t>
      </w:r>
    </w:p>
    <w:p w14:paraId="38886712" w14:textId="77777777" w:rsidR="00415359" w:rsidRPr="00BF6F9C" w:rsidRDefault="00415359" w:rsidP="00206383">
      <w:pPr>
        <w:jc w:val="both"/>
        <w:rPr>
          <w:noProof/>
          <w:sz w:val="20"/>
          <w:szCs w:val="21"/>
          <w:lang w:val="nl-NL"/>
        </w:rPr>
      </w:pPr>
    </w:p>
    <w:p w14:paraId="6615517A" w14:textId="267734B9" w:rsidR="00E275C6" w:rsidRPr="00BF6F9C" w:rsidRDefault="00BF6F9C" w:rsidP="00E275C6">
      <w:pPr>
        <w:jc w:val="both"/>
        <w:rPr>
          <w:noProof/>
          <w:sz w:val="20"/>
          <w:szCs w:val="21"/>
          <w:lang w:val="nl-NL"/>
        </w:rPr>
      </w:pPr>
      <w:r>
        <w:rPr>
          <w:rFonts w:cs="Calibri"/>
          <w:sz w:val="20"/>
          <w:szCs w:val="21"/>
          <w:lang w:val="nl-NL"/>
        </w:rPr>
        <w:t xml:space="preserve">Op het gebied </w:t>
      </w:r>
      <w:r w:rsidR="008754EE" w:rsidRPr="00BF6F9C">
        <w:rPr>
          <w:rFonts w:cs="Calibri"/>
          <w:sz w:val="20"/>
          <w:szCs w:val="21"/>
          <w:lang w:val="nl-NL"/>
        </w:rPr>
        <w:t xml:space="preserve">van verspreiding en </w:t>
      </w:r>
      <w:r>
        <w:rPr>
          <w:rFonts w:cs="Calibri"/>
          <w:sz w:val="20"/>
          <w:szCs w:val="21"/>
          <w:lang w:val="nl-NL"/>
        </w:rPr>
        <w:t>exploitati</w:t>
      </w:r>
      <w:r w:rsidR="008754EE" w:rsidRPr="00BF6F9C">
        <w:rPr>
          <w:rFonts w:cs="Calibri"/>
          <w:sz w:val="20"/>
          <w:szCs w:val="21"/>
          <w:lang w:val="nl-NL"/>
        </w:rPr>
        <w:t xml:space="preserve">e heeft </w:t>
      </w:r>
      <w:r w:rsidR="00E275C6" w:rsidRPr="00BF6F9C">
        <w:rPr>
          <w:rFonts w:cs="Calibri"/>
          <w:sz w:val="20"/>
          <w:szCs w:val="21"/>
          <w:lang w:val="nl-NL"/>
        </w:rPr>
        <w:t xml:space="preserve">MSTyr15 </w:t>
      </w:r>
      <w:r w:rsidR="008754EE" w:rsidRPr="00BF6F9C">
        <w:rPr>
          <w:rFonts w:cs="Calibri"/>
          <w:sz w:val="20"/>
          <w:szCs w:val="21"/>
          <w:lang w:val="nl-NL"/>
        </w:rPr>
        <w:t xml:space="preserve">ervoor gezorgd dat de bandenleveranciers goed geïnformeerd zijn over hun verantwoordelijkheden rond de zichtbaarheid van het bandenlabel. Verwacht wordt dat de publicatie van de projectresultaten </w:t>
      </w:r>
      <w:r w:rsidR="008754EE" w:rsidRPr="00BF6F9C">
        <w:rPr>
          <w:noProof/>
          <w:sz w:val="20"/>
          <w:szCs w:val="21"/>
          <w:lang w:val="nl-NL"/>
        </w:rPr>
        <w:t xml:space="preserve">ook het bewustzijn van de consumenten zal vergroten om autobanden te kiezen die efficiënter en veiliger zijn. </w:t>
      </w:r>
    </w:p>
    <w:p w14:paraId="5AE3942E" w14:textId="77777777" w:rsidR="00E275C6" w:rsidRPr="00BF6F9C" w:rsidRDefault="00E275C6" w:rsidP="00176AB5">
      <w:pPr>
        <w:jc w:val="both"/>
        <w:rPr>
          <w:rFonts w:cs="Calibri"/>
          <w:sz w:val="18"/>
          <w:szCs w:val="20"/>
          <w:lang w:val="nl-NL"/>
        </w:rPr>
      </w:pPr>
    </w:p>
    <w:p w14:paraId="67B880E6" w14:textId="2EBA08E4" w:rsidR="00E275C6" w:rsidRDefault="008754EE" w:rsidP="00E275C6">
      <w:pPr>
        <w:pStyle w:val="CommentText"/>
        <w:jc w:val="both"/>
        <w:rPr>
          <w:lang w:val="nl-NL"/>
        </w:rPr>
      </w:pPr>
      <w:r w:rsidRPr="00BF6F9C">
        <w:rPr>
          <w:noProof/>
          <w:lang w:val="nl-NL"/>
        </w:rPr>
        <w:t xml:space="preserve">Om de resultaten nog meer ruchtbaarheid te geven werd </w:t>
      </w:r>
      <w:r w:rsidR="008036BC" w:rsidRPr="00BF6F9C">
        <w:rPr>
          <w:lang w:val="nl-NL"/>
        </w:rPr>
        <w:t xml:space="preserve">MSTyr15 </w:t>
      </w:r>
      <w:r w:rsidRPr="00BF6F9C">
        <w:rPr>
          <w:lang w:val="nl-NL"/>
        </w:rPr>
        <w:t>gepresenteerd op twee grote internationale  conferenti</w:t>
      </w:r>
      <w:r w:rsidR="006D67ED" w:rsidRPr="00BF6F9C">
        <w:rPr>
          <w:lang w:val="nl-NL"/>
        </w:rPr>
        <w:t>es (</w:t>
      </w:r>
      <w:hyperlink r:id="rId12" w:history="1">
        <w:r w:rsidR="006D67ED" w:rsidRPr="00BF6F9C">
          <w:rPr>
            <w:rStyle w:val="Hyperlink"/>
            <w:lang w:val="nl-NL"/>
          </w:rPr>
          <w:t>WSED2018</w:t>
        </w:r>
      </w:hyperlink>
      <w:r w:rsidR="006D67ED" w:rsidRPr="00BF6F9C">
        <w:rPr>
          <w:lang w:val="nl-NL"/>
        </w:rPr>
        <w:t xml:space="preserve"> </w:t>
      </w:r>
      <w:r w:rsidRPr="00BF6F9C">
        <w:rPr>
          <w:lang w:val="nl-NL"/>
        </w:rPr>
        <w:t xml:space="preserve">en </w:t>
      </w:r>
      <w:hyperlink r:id="rId13" w:history="1">
        <w:r w:rsidR="006D67ED" w:rsidRPr="00BF6F9C">
          <w:rPr>
            <w:rStyle w:val="Hyperlink"/>
            <w:lang w:val="nl-NL"/>
          </w:rPr>
          <w:t>EUSEW18</w:t>
        </w:r>
      </w:hyperlink>
      <w:r w:rsidR="006D67ED" w:rsidRPr="00BF6F9C">
        <w:rPr>
          <w:lang w:val="nl-NL"/>
        </w:rPr>
        <w:t>)</w:t>
      </w:r>
      <w:r w:rsidR="008036BC" w:rsidRPr="00BF6F9C">
        <w:rPr>
          <w:lang w:val="nl-NL"/>
        </w:rPr>
        <w:t>.</w:t>
      </w:r>
      <w:r w:rsidR="006D67ED" w:rsidRPr="00BF6F9C">
        <w:rPr>
          <w:lang w:val="nl-NL"/>
        </w:rPr>
        <w:t xml:space="preserve"> </w:t>
      </w:r>
      <w:r w:rsidRPr="00BF6F9C">
        <w:rPr>
          <w:lang w:val="nl-NL"/>
        </w:rPr>
        <w:t xml:space="preserve">Dit toont nogmaals het sterke en coherente engagement van het consortium aan om de beste kosten-batenbalans te realiseren door ervoor te zorgen dat de ter beschikking gestelde EU-financiering voor het opzetten van  projecten inzake markttoezicht wel degelijk renderen dank zij hun impact op zowel de markt als de consumenten. </w:t>
      </w:r>
    </w:p>
    <w:p w14:paraId="462E6956" w14:textId="77777777" w:rsidR="00BF6F9C" w:rsidRPr="00BF6F9C" w:rsidRDefault="00BF6F9C" w:rsidP="00E275C6">
      <w:pPr>
        <w:pStyle w:val="CommentText"/>
        <w:jc w:val="both"/>
        <w:rPr>
          <w:lang w:val="nl-NL"/>
        </w:rPr>
      </w:pPr>
    </w:p>
    <w:p w14:paraId="2C3B0CFD" w14:textId="0D588A04" w:rsidR="00E356CB" w:rsidRPr="00BF6F9C" w:rsidRDefault="00415359" w:rsidP="00E356CB">
      <w:pPr>
        <w:pStyle w:val="CommentText"/>
        <w:jc w:val="both"/>
        <w:rPr>
          <w:noProof/>
          <w:szCs w:val="21"/>
          <w:lang w:val="nl-NL"/>
        </w:rPr>
      </w:pPr>
      <w:r>
        <w:rPr>
          <w:rFonts w:cs="Calibri"/>
          <w:szCs w:val="21"/>
          <w:lang w:val="nl-NL"/>
        </w:rPr>
        <w:t xml:space="preserve">Opmerkelijk </w:t>
      </w:r>
      <w:r w:rsidR="00413D70" w:rsidRPr="00BF6F9C">
        <w:rPr>
          <w:rFonts w:cs="Calibri"/>
          <w:szCs w:val="21"/>
          <w:lang w:val="nl-NL"/>
        </w:rPr>
        <w:t>is ook dat</w:t>
      </w:r>
      <w:r>
        <w:rPr>
          <w:rFonts w:cs="Calibri"/>
          <w:szCs w:val="21"/>
          <w:lang w:val="nl-NL"/>
        </w:rPr>
        <w:t xml:space="preserve"> er</w:t>
      </w:r>
      <w:r w:rsidR="00413D70" w:rsidRPr="00BF6F9C">
        <w:rPr>
          <w:rFonts w:cs="Calibri"/>
          <w:szCs w:val="21"/>
          <w:lang w:val="nl-NL"/>
        </w:rPr>
        <w:t xml:space="preserve">, buiten de eigenlijke scope van het project, </w:t>
      </w:r>
      <w:r>
        <w:rPr>
          <w:rFonts w:cs="Calibri"/>
          <w:szCs w:val="21"/>
          <w:lang w:val="nl-NL"/>
        </w:rPr>
        <w:t xml:space="preserve">dankzij </w:t>
      </w:r>
      <w:r w:rsidR="00E356CB" w:rsidRPr="00BF6F9C">
        <w:rPr>
          <w:rFonts w:cs="Calibri"/>
          <w:szCs w:val="21"/>
          <w:lang w:val="nl-NL"/>
        </w:rPr>
        <w:t xml:space="preserve">MSTyr15 </w:t>
      </w:r>
      <w:r w:rsidR="00413D70" w:rsidRPr="00BF6F9C">
        <w:rPr>
          <w:rFonts w:cs="Calibri"/>
          <w:szCs w:val="21"/>
          <w:lang w:val="nl-NL"/>
        </w:rPr>
        <w:t xml:space="preserve">waardevolle relaties met andere niet-deelnemende </w:t>
      </w:r>
      <w:r w:rsidR="00E356CB" w:rsidRPr="00BF6F9C">
        <w:rPr>
          <w:rFonts w:cs="Calibri"/>
          <w:szCs w:val="21"/>
          <w:lang w:val="nl-NL"/>
        </w:rPr>
        <w:t xml:space="preserve">MSAs </w:t>
      </w:r>
      <w:r w:rsidR="00413D70" w:rsidRPr="00BF6F9C">
        <w:rPr>
          <w:rFonts w:cs="Calibri"/>
          <w:szCs w:val="21"/>
          <w:lang w:val="nl-NL"/>
        </w:rPr>
        <w:t xml:space="preserve">in de Europese Economische Ruimte tot stand </w:t>
      </w:r>
      <w:r>
        <w:rPr>
          <w:rFonts w:cs="Calibri"/>
          <w:szCs w:val="21"/>
          <w:lang w:val="nl-NL"/>
        </w:rPr>
        <w:t xml:space="preserve">werden </w:t>
      </w:r>
      <w:r w:rsidR="00413D70" w:rsidRPr="00BF6F9C">
        <w:rPr>
          <w:rFonts w:cs="Calibri"/>
          <w:szCs w:val="21"/>
          <w:lang w:val="nl-NL"/>
        </w:rPr>
        <w:t xml:space="preserve">gebracht, en dat er contacten werden gelegd met een aantal Europese verenigingen, consumentenorganisaties en milieu-NGO’s, wat het pad heeft geëffend voor nieuwe toekomstige synergieën. </w:t>
      </w:r>
    </w:p>
    <w:p w14:paraId="573A54CB" w14:textId="006A77D8" w:rsidR="0033257C" w:rsidRPr="00BF6F9C" w:rsidRDefault="0033257C" w:rsidP="00206383">
      <w:pPr>
        <w:pStyle w:val="CommentText"/>
        <w:jc w:val="both"/>
        <w:rPr>
          <w:noProof/>
          <w:sz w:val="24"/>
          <w:szCs w:val="24"/>
          <w:lang w:val="nl-NL"/>
        </w:rPr>
      </w:pPr>
    </w:p>
    <w:p w14:paraId="3D69012C" w14:textId="77777777" w:rsidR="00206383" w:rsidRPr="00BF6F9C" w:rsidRDefault="00206383" w:rsidP="00E356CB">
      <w:pPr>
        <w:rPr>
          <w:color w:val="0A3296"/>
          <w:sz w:val="20"/>
          <w:szCs w:val="20"/>
          <w:lang w:val="nl-NL"/>
        </w:rPr>
      </w:pPr>
    </w:p>
    <w:p w14:paraId="005EDB7E" w14:textId="77777777" w:rsidR="00206383" w:rsidRPr="00BF6F9C" w:rsidRDefault="00206383" w:rsidP="00E356CB">
      <w:pPr>
        <w:rPr>
          <w:color w:val="0A3296"/>
          <w:sz w:val="20"/>
          <w:szCs w:val="20"/>
          <w:lang w:val="nl-NL"/>
        </w:rPr>
      </w:pPr>
    </w:p>
    <w:p w14:paraId="52171078" w14:textId="77777777" w:rsidR="00206383" w:rsidRPr="00BF6F9C" w:rsidRDefault="00206383" w:rsidP="00E356CB">
      <w:pPr>
        <w:rPr>
          <w:color w:val="0A3296"/>
          <w:sz w:val="20"/>
          <w:szCs w:val="20"/>
          <w:lang w:val="nl-NL"/>
        </w:rPr>
      </w:pPr>
    </w:p>
    <w:p w14:paraId="59DF9F10" w14:textId="77777777" w:rsidR="00206383" w:rsidRPr="00BF6F9C" w:rsidRDefault="00206383" w:rsidP="00E356CB">
      <w:pPr>
        <w:rPr>
          <w:color w:val="0A3296"/>
          <w:sz w:val="20"/>
          <w:szCs w:val="20"/>
          <w:lang w:val="nl-NL"/>
        </w:rPr>
      </w:pPr>
    </w:p>
    <w:p w14:paraId="72E61E5F" w14:textId="77777777" w:rsidR="00206383" w:rsidRPr="00BF6F9C" w:rsidRDefault="00206383" w:rsidP="00E356CB">
      <w:pPr>
        <w:rPr>
          <w:color w:val="0A3296"/>
          <w:sz w:val="20"/>
          <w:szCs w:val="20"/>
          <w:lang w:val="nl-NL"/>
        </w:rPr>
      </w:pPr>
    </w:p>
    <w:p w14:paraId="0128227E" w14:textId="77777777" w:rsidR="00206383" w:rsidRPr="00BF6F9C" w:rsidRDefault="00206383" w:rsidP="00E356CB">
      <w:pPr>
        <w:rPr>
          <w:color w:val="0A3296"/>
          <w:sz w:val="20"/>
          <w:szCs w:val="20"/>
          <w:lang w:val="nl-NL"/>
        </w:rPr>
      </w:pPr>
    </w:p>
    <w:p w14:paraId="3DE8010F" w14:textId="77777777" w:rsidR="00206383" w:rsidRPr="00BF6F9C" w:rsidRDefault="00206383" w:rsidP="00E356CB">
      <w:pPr>
        <w:rPr>
          <w:color w:val="0A3296"/>
          <w:sz w:val="20"/>
          <w:szCs w:val="20"/>
          <w:lang w:val="nl-NL"/>
        </w:rPr>
      </w:pPr>
    </w:p>
    <w:p w14:paraId="087D7219" w14:textId="77777777" w:rsidR="00206383" w:rsidRPr="00BF6F9C" w:rsidRDefault="00206383" w:rsidP="00E356CB">
      <w:pPr>
        <w:rPr>
          <w:color w:val="0A3296"/>
          <w:sz w:val="20"/>
          <w:szCs w:val="20"/>
          <w:lang w:val="nl-NL"/>
        </w:rPr>
      </w:pPr>
    </w:p>
    <w:p w14:paraId="4F8ECDCC" w14:textId="77777777" w:rsidR="00206383" w:rsidRPr="00BF6F9C" w:rsidRDefault="00206383" w:rsidP="00E356CB">
      <w:pPr>
        <w:rPr>
          <w:color w:val="0A3296"/>
          <w:sz w:val="20"/>
          <w:szCs w:val="20"/>
          <w:lang w:val="nl-NL"/>
        </w:rPr>
      </w:pPr>
    </w:p>
    <w:p w14:paraId="3479E519" w14:textId="77777777" w:rsidR="00206383" w:rsidRPr="00BF6F9C" w:rsidRDefault="00206383" w:rsidP="00E356CB">
      <w:pPr>
        <w:rPr>
          <w:color w:val="0A3296"/>
          <w:sz w:val="20"/>
          <w:szCs w:val="20"/>
          <w:lang w:val="nl-NL"/>
        </w:rPr>
      </w:pPr>
    </w:p>
    <w:p w14:paraId="4356CFB1" w14:textId="77777777" w:rsidR="00206383" w:rsidRPr="00BF6F9C" w:rsidRDefault="00206383" w:rsidP="00E356CB">
      <w:pPr>
        <w:rPr>
          <w:color w:val="0A3296"/>
          <w:sz w:val="20"/>
          <w:szCs w:val="20"/>
          <w:lang w:val="nl-NL"/>
        </w:rPr>
      </w:pPr>
    </w:p>
    <w:p w14:paraId="746A8A72" w14:textId="77777777" w:rsidR="00206383" w:rsidRPr="00BF6F9C" w:rsidRDefault="00206383" w:rsidP="00E356CB">
      <w:pPr>
        <w:rPr>
          <w:color w:val="0A3296"/>
          <w:sz w:val="20"/>
          <w:szCs w:val="20"/>
          <w:lang w:val="nl-NL"/>
        </w:rPr>
      </w:pPr>
    </w:p>
    <w:p w14:paraId="364E2CC1" w14:textId="77777777" w:rsidR="00206383" w:rsidRPr="00BF6F9C" w:rsidRDefault="00206383" w:rsidP="00E356CB">
      <w:pPr>
        <w:rPr>
          <w:color w:val="0A3296"/>
          <w:sz w:val="20"/>
          <w:szCs w:val="20"/>
          <w:lang w:val="nl-NL"/>
        </w:rPr>
      </w:pPr>
    </w:p>
    <w:p w14:paraId="5753A386" w14:textId="77777777" w:rsidR="00206383" w:rsidRPr="00BF6F9C" w:rsidRDefault="00206383" w:rsidP="00E356CB">
      <w:pPr>
        <w:rPr>
          <w:color w:val="0A3296"/>
          <w:sz w:val="20"/>
          <w:szCs w:val="20"/>
          <w:lang w:val="nl-NL"/>
        </w:rPr>
      </w:pPr>
    </w:p>
    <w:p w14:paraId="7BBFF889" w14:textId="77777777" w:rsidR="00206383" w:rsidRPr="00BF6F9C" w:rsidRDefault="00206383" w:rsidP="00E356CB">
      <w:pPr>
        <w:rPr>
          <w:color w:val="0A3296"/>
          <w:sz w:val="20"/>
          <w:szCs w:val="20"/>
          <w:lang w:val="nl-NL"/>
        </w:rPr>
      </w:pPr>
    </w:p>
    <w:p w14:paraId="7F3A66EB" w14:textId="113BD863" w:rsidR="00E356CB" w:rsidRPr="00BF6F9C" w:rsidRDefault="00413D70" w:rsidP="00E356CB">
      <w:pPr>
        <w:rPr>
          <w:color w:val="0A3296"/>
          <w:sz w:val="20"/>
          <w:szCs w:val="20"/>
          <w:lang w:val="nl-NL"/>
        </w:rPr>
      </w:pPr>
      <w:r w:rsidRPr="00BF6F9C">
        <w:rPr>
          <w:color w:val="0A3296"/>
          <w:sz w:val="20"/>
          <w:szCs w:val="20"/>
          <w:lang w:val="nl-NL"/>
        </w:rPr>
        <w:t>Contactp</w:t>
      </w:r>
      <w:r w:rsidR="00E356CB" w:rsidRPr="00BF6F9C">
        <w:rPr>
          <w:color w:val="0A3296"/>
          <w:sz w:val="20"/>
          <w:szCs w:val="20"/>
          <w:lang w:val="nl-NL"/>
        </w:rPr>
        <w:t>erso</w:t>
      </w:r>
      <w:r w:rsidRPr="00BF6F9C">
        <w:rPr>
          <w:color w:val="0A3296"/>
          <w:sz w:val="20"/>
          <w:szCs w:val="20"/>
          <w:lang w:val="nl-NL"/>
        </w:rPr>
        <w:t>o</w:t>
      </w:r>
      <w:r w:rsidR="00E356CB" w:rsidRPr="00BF6F9C">
        <w:rPr>
          <w:color w:val="0A3296"/>
          <w:sz w:val="20"/>
          <w:szCs w:val="20"/>
          <w:lang w:val="nl-NL"/>
        </w:rPr>
        <w:t>n:</w:t>
      </w:r>
      <w:r w:rsidR="0033257C" w:rsidRPr="00BF6F9C">
        <w:rPr>
          <w:rFonts w:cs="Calibri"/>
          <w:noProof/>
          <w:szCs w:val="21"/>
          <w:lang w:val="nl-NL"/>
        </w:rPr>
        <w:t xml:space="preserve"> </w:t>
      </w:r>
    </w:p>
    <w:p w14:paraId="7E8B451F" w14:textId="77777777" w:rsidR="006D0F9C" w:rsidRPr="00BF6F9C" w:rsidRDefault="006D0F9C" w:rsidP="00E356CB">
      <w:pPr>
        <w:rPr>
          <w:color w:val="0A3296"/>
          <w:sz w:val="6"/>
          <w:szCs w:val="20"/>
          <w:lang w:val="nl-NL"/>
        </w:rPr>
      </w:pPr>
    </w:p>
    <w:p w14:paraId="3FE7AAED" w14:textId="77777777" w:rsidR="00E356CB" w:rsidRPr="00BF6F9C" w:rsidRDefault="001F4C47" w:rsidP="00E356CB">
      <w:pPr>
        <w:rPr>
          <w:color w:val="202480"/>
          <w:sz w:val="20"/>
          <w:szCs w:val="20"/>
          <w:lang w:val="nl-NL"/>
        </w:rPr>
      </w:pPr>
      <w:r w:rsidRPr="00BF6F9C">
        <w:rPr>
          <w:color w:val="0A3296"/>
          <w:sz w:val="20"/>
          <w:szCs w:val="20"/>
          <w:lang w:val="nl-NL"/>
        </w:rPr>
        <w:t>Ioana Zlotila</w:t>
      </w:r>
      <w:r w:rsidR="00E356CB" w:rsidRPr="00BF6F9C">
        <w:rPr>
          <w:color w:val="0A3296"/>
          <w:sz w:val="20"/>
          <w:szCs w:val="20"/>
          <w:lang w:val="nl-NL"/>
        </w:rPr>
        <w:t xml:space="preserve">, Executive Director, </w:t>
      </w:r>
      <w:hyperlink r:id="rId14" w:history="1">
        <w:r w:rsidRPr="00BF6F9C">
          <w:rPr>
            <w:rStyle w:val="Hyperlink"/>
            <w:sz w:val="20"/>
            <w:szCs w:val="20"/>
            <w:lang w:val="nl-NL"/>
          </w:rPr>
          <w:t>ioana@prosafe.org</w:t>
        </w:r>
      </w:hyperlink>
      <w:r w:rsidR="00E356CB" w:rsidRPr="00BF6F9C">
        <w:rPr>
          <w:color w:val="0A3296"/>
          <w:sz w:val="20"/>
          <w:szCs w:val="20"/>
          <w:lang w:val="nl-NL"/>
        </w:rPr>
        <w:t xml:space="preserve"> and </w:t>
      </w:r>
      <w:hyperlink r:id="rId15" w:history="1">
        <w:r w:rsidR="00E356CB" w:rsidRPr="00BF6F9C">
          <w:rPr>
            <w:rStyle w:val="Hyperlink"/>
            <w:sz w:val="20"/>
            <w:szCs w:val="20"/>
            <w:lang w:val="nl-NL"/>
          </w:rPr>
          <w:t>info@prosafe.org</w:t>
        </w:r>
      </w:hyperlink>
      <w:r w:rsidR="00E356CB" w:rsidRPr="00BF6F9C">
        <w:rPr>
          <w:color w:val="0A3296"/>
          <w:sz w:val="20"/>
          <w:szCs w:val="20"/>
          <w:lang w:val="nl-NL"/>
        </w:rPr>
        <w:t xml:space="preserve">  </w:t>
      </w:r>
    </w:p>
    <w:p w14:paraId="359518E5" w14:textId="77777777" w:rsidR="00E356CB" w:rsidRPr="00BF6F9C" w:rsidRDefault="00E356CB" w:rsidP="00004345">
      <w:pPr>
        <w:pStyle w:val="CommentText"/>
        <w:jc w:val="both"/>
        <w:rPr>
          <w:rFonts w:cs="Calibri"/>
          <w:sz w:val="24"/>
          <w:szCs w:val="21"/>
          <w:lang w:val="nl-NL"/>
        </w:rPr>
      </w:pPr>
    </w:p>
    <w:p w14:paraId="33E8D804" w14:textId="79A54A27" w:rsidR="001218CB" w:rsidRPr="00BF6F9C" w:rsidRDefault="00413D70" w:rsidP="00004345">
      <w:pPr>
        <w:pStyle w:val="CommentText"/>
        <w:jc w:val="both"/>
        <w:rPr>
          <w:rFonts w:cs="Calibri"/>
          <w:b/>
          <w:sz w:val="18"/>
          <w:szCs w:val="21"/>
          <w:lang w:val="nl-NL"/>
        </w:rPr>
      </w:pPr>
      <w:r w:rsidRPr="00BF6F9C">
        <w:rPr>
          <w:rFonts w:cs="Calibri"/>
          <w:b/>
          <w:sz w:val="18"/>
          <w:szCs w:val="21"/>
          <w:lang w:val="nl-NL"/>
        </w:rPr>
        <w:t>Achtergrondinformatie</w:t>
      </w:r>
    </w:p>
    <w:p w14:paraId="06B3EE98" w14:textId="77777777" w:rsidR="0000743C" w:rsidRPr="00BF6F9C" w:rsidRDefault="0000743C" w:rsidP="00004345">
      <w:pPr>
        <w:pStyle w:val="CommentText"/>
        <w:jc w:val="both"/>
        <w:rPr>
          <w:rFonts w:cs="Calibri"/>
          <w:sz w:val="10"/>
          <w:szCs w:val="21"/>
          <w:lang w:val="nl-NL"/>
        </w:rPr>
      </w:pPr>
    </w:p>
    <w:p w14:paraId="3FD4E83A" w14:textId="70220369" w:rsidR="00E356CB" w:rsidRPr="00BF6F9C" w:rsidRDefault="00413D70" w:rsidP="0033257C">
      <w:pPr>
        <w:keepNext/>
        <w:autoSpaceDE w:val="0"/>
        <w:autoSpaceDN w:val="0"/>
        <w:adjustRightInd w:val="0"/>
        <w:jc w:val="both"/>
        <w:rPr>
          <w:sz w:val="18"/>
          <w:szCs w:val="18"/>
          <w:lang w:val="nl-NL"/>
        </w:rPr>
      </w:pPr>
      <w:r w:rsidRPr="00BF6F9C">
        <w:rPr>
          <w:sz w:val="18"/>
          <w:szCs w:val="18"/>
          <w:lang w:val="nl-NL"/>
        </w:rPr>
        <w:t xml:space="preserve">Deze informatie gaat uit van  </w:t>
      </w:r>
      <w:r w:rsidR="00E356CB" w:rsidRPr="00BF6F9C">
        <w:rPr>
          <w:sz w:val="18"/>
          <w:szCs w:val="18"/>
          <w:lang w:val="nl-NL"/>
        </w:rPr>
        <w:t xml:space="preserve">PROSAFE </w:t>
      </w:r>
      <w:r w:rsidRPr="00BF6F9C">
        <w:rPr>
          <w:sz w:val="18"/>
          <w:szCs w:val="18"/>
          <w:lang w:val="nl-NL"/>
        </w:rPr>
        <w:t xml:space="preserve">en van de toezichthoudende overheden die 14 EU-landen en Turkije vertegenwoordigden in de Gezamenlijke Actie </w:t>
      </w:r>
      <w:hyperlink r:id="rId16" w:history="1">
        <w:r w:rsidR="00E356CB" w:rsidRPr="00BF6F9C">
          <w:rPr>
            <w:rStyle w:val="Hyperlink"/>
            <w:sz w:val="18"/>
            <w:szCs w:val="18"/>
            <w:lang w:val="nl-NL"/>
          </w:rPr>
          <w:t>MStyr15</w:t>
        </w:r>
      </w:hyperlink>
      <w:r w:rsidR="00E356CB" w:rsidRPr="00BF6F9C">
        <w:rPr>
          <w:sz w:val="18"/>
          <w:szCs w:val="18"/>
          <w:lang w:val="nl-NL"/>
        </w:rPr>
        <w:t>.</w:t>
      </w:r>
    </w:p>
    <w:p w14:paraId="65DDDCF3" w14:textId="7DFDBC6F" w:rsidR="00F90542" w:rsidRPr="00BF6F9C" w:rsidRDefault="00413D70" w:rsidP="00004345">
      <w:pPr>
        <w:jc w:val="both"/>
        <w:rPr>
          <w:sz w:val="18"/>
          <w:szCs w:val="18"/>
          <w:lang w:val="nl-NL"/>
        </w:rPr>
      </w:pPr>
      <w:r w:rsidRPr="00BF6F9C">
        <w:rPr>
          <w:sz w:val="18"/>
          <w:szCs w:val="18"/>
          <w:lang w:val="nl-NL"/>
        </w:rPr>
        <w:t xml:space="preserve">De Actie wordt gecoördineerd door </w:t>
      </w:r>
      <w:r w:rsidR="00E356CB" w:rsidRPr="00BF6F9C">
        <w:rPr>
          <w:sz w:val="18"/>
          <w:szCs w:val="18"/>
          <w:lang w:val="nl-NL"/>
        </w:rPr>
        <w:t xml:space="preserve">PROSAFE (Product Safety Forum of Europe), </w:t>
      </w:r>
      <w:r w:rsidRPr="00BF6F9C">
        <w:rPr>
          <w:sz w:val="18"/>
          <w:szCs w:val="18"/>
          <w:lang w:val="nl-NL"/>
        </w:rPr>
        <w:t xml:space="preserve">een  non-profit organisatie die ambtenaren verantwoordelijk voor markttoezicht uit heel Europa en de wereld groepeert. Bezoek </w:t>
      </w:r>
      <w:hyperlink r:id="rId17" w:history="1">
        <w:r w:rsidR="00E356CB" w:rsidRPr="00BF6F9C">
          <w:rPr>
            <w:rStyle w:val="Hyperlink"/>
            <w:sz w:val="18"/>
            <w:szCs w:val="18"/>
            <w:lang w:val="nl-NL"/>
          </w:rPr>
          <w:t>www.prosafe.org</w:t>
        </w:r>
      </w:hyperlink>
      <w:r w:rsidR="00A353B3" w:rsidRPr="00BF6F9C">
        <w:rPr>
          <w:sz w:val="18"/>
          <w:szCs w:val="18"/>
          <w:lang w:val="nl-NL"/>
        </w:rPr>
        <w:t xml:space="preserve"> </w:t>
      </w:r>
      <w:r w:rsidRPr="00BF6F9C">
        <w:rPr>
          <w:sz w:val="18"/>
          <w:szCs w:val="18"/>
          <w:lang w:val="nl-NL"/>
        </w:rPr>
        <w:t xml:space="preserve">om meer te weten te komen over </w:t>
      </w:r>
      <w:r w:rsidR="00E356CB" w:rsidRPr="00BF6F9C">
        <w:rPr>
          <w:sz w:val="18"/>
          <w:szCs w:val="18"/>
          <w:lang w:val="nl-NL"/>
        </w:rPr>
        <w:t xml:space="preserve">MStyr15 </w:t>
      </w:r>
      <w:r w:rsidRPr="00BF6F9C">
        <w:rPr>
          <w:sz w:val="18"/>
          <w:szCs w:val="18"/>
          <w:lang w:val="nl-NL"/>
        </w:rPr>
        <w:t xml:space="preserve">en over de andere Gezamenlijke Acties die </w:t>
      </w:r>
      <w:r w:rsidR="00196AF8" w:rsidRPr="00BF6F9C">
        <w:rPr>
          <w:sz w:val="18"/>
          <w:szCs w:val="18"/>
          <w:lang w:val="nl-NL"/>
        </w:rPr>
        <w:t>PROSAFE</w:t>
      </w:r>
      <w:r w:rsidRPr="00BF6F9C">
        <w:rPr>
          <w:sz w:val="18"/>
          <w:szCs w:val="18"/>
          <w:lang w:val="nl-NL"/>
        </w:rPr>
        <w:t xml:space="preserve"> coördineert</w:t>
      </w:r>
      <w:r w:rsidR="00196AF8" w:rsidRPr="00BF6F9C">
        <w:rPr>
          <w:sz w:val="18"/>
          <w:szCs w:val="18"/>
          <w:lang w:val="nl-NL"/>
        </w:rPr>
        <w:t>.</w:t>
      </w:r>
      <w:r w:rsidR="00A353B3" w:rsidRPr="00BF6F9C">
        <w:rPr>
          <w:sz w:val="18"/>
          <w:szCs w:val="18"/>
          <w:lang w:val="nl-NL"/>
        </w:rPr>
        <w:t xml:space="preserve"> </w:t>
      </w:r>
      <w:r w:rsidRPr="00BF6F9C">
        <w:rPr>
          <w:sz w:val="18"/>
          <w:szCs w:val="18"/>
          <w:lang w:val="nl-NL"/>
        </w:rPr>
        <w:t xml:space="preserve">Volg </w:t>
      </w:r>
      <w:r w:rsidR="00A353B3" w:rsidRPr="00BF6F9C">
        <w:rPr>
          <w:sz w:val="18"/>
          <w:szCs w:val="18"/>
          <w:lang w:val="nl-NL"/>
        </w:rPr>
        <w:t xml:space="preserve">PROSAFE </w:t>
      </w:r>
      <w:r w:rsidRPr="00BF6F9C">
        <w:rPr>
          <w:sz w:val="18"/>
          <w:szCs w:val="18"/>
          <w:lang w:val="nl-NL"/>
        </w:rPr>
        <w:t xml:space="preserve">en </w:t>
      </w:r>
      <w:r w:rsidR="00A353B3" w:rsidRPr="00BF6F9C">
        <w:rPr>
          <w:sz w:val="18"/>
          <w:szCs w:val="18"/>
          <w:lang w:val="nl-NL"/>
        </w:rPr>
        <w:t xml:space="preserve">MSTyr15 </w:t>
      </w:r>
      <w:r w:rsidRPr="00BF6F9C">
        <w:rPr>
          <w:sz w:val="18"/>
          <w:szCs w:val="18"/>
          <w:lang w:val="nl-NL"/>
        </w:rPr>
        <w:t xml:space="preserve">op </w:t>
      </w:r>
      <w:r w:rsidR="00A353B3" w:rsidRPr="00BF6F9C">
        <w:rPr>
          <w:sz w:val="18"/>
          <w:szCs w:val="18"/>
          <w:lang w:val="nl-NL"/>
        </w:rPr>
        <w:t xml:space="preserve">Twitter </w:t>
      </w:r>
      <w:r w:rsidRPr="00BF6F9C">
        <w:rPr>
          <w:sz w:val="18"/>
          <w:szCs w:val="18"/>
          <w:lang w:val="nl-NL"/>
        </w:rPr>
        <w:t xml:space="preserve">via </w:t>
      </w:r>
      <w:hyperlink r:id="rId18" w:history="1">
        <w:r w:rsidR="00A353B3" w:rsidRPr="00BF6F9C">
          <w:rPr>
            <w:rStyle w:val="Hyperlink"/>
            <w:sz w:val="18"/>
            <w:szCs w:val="18"/>
            <w:u w:val="none"/>
            <w:lang w:val="nl-NL"/>
          </w:rPr>
          <w:t>@PROSAFE_ORG</w:t>
        </w:r>
      </w:hyperlink>
      <w:r w:rsidR="00A353B3" w:rsidRPr="00BF6F9C">
        <w:rPr>
          <w:sz w:val="18"/>
          <w:szCs w:val="18"/>
          <w:lang w:val="nl-NL"/>
        </w:rPr>
        <w:t xml:space="preserve"> </w:t>
      </w:r>
      <w:r w:rsidRPr="00BF6F9C">
        <w:rPr>
          <w:sz w:val="18"/>
          <w:szCs w:val="18"/>
          <w:lang w:val="nl-NL"/>
        </w:rPr>
        <w:t xml:space="preserve">en </w:t>
      </w:r>
      <w:hyperlink r:id="rId19" w:history="1">
        <w:r w:rsidR="00A353B3" w:rsidRPr="00BF6F9C">
          <w:rPr>
            <w:rStyle w:val="Hyperlink"/>
            <w:sz w:val="18"/>
            <w:szCs w:val="18"/>
            <w:u w:val="none"/>
            <w:lang w:val="nl-NL"/>
          </w:rPr>
          <w:t>@MSTyr15</w:t>
        </w:r>
      </w:hyperlink>
      <w:r w:rsidR="001B6F03" w:rsidRPr="00BF6F9C">
        <w:rPr>
          <w:sz w:val="18"/>
          <w:szCs w:val="18"/>
          <w:lang w:val="nl-NL"/>
        </w:rPr>
        <w:t xml:space="preserve"> </w:t>
      </w:r>
      <w:r w:rsidRPr="00BF6F9C">
        <w:rPr>
          <w:sz w:val="18"/>
          <w:szCs w:val="18"/>
          <w:lang w:val="nl-NL"/>
        </w:rPr>
        <w:t>voor nieuws en regelmatige updates over de projectresultaten</w:t>
      </w:r>
      <w:r w:rsidR="00A353B3" w:rsidRPr="00BF6F9C">
        <w:rPr>
          <w:sz w:val="18"/>
          <w:szCs w:val="18"/>
          <w:lang w:val="nl-NL"/>
        </w:rPr>
        <w:t>.</w:t>
      </w:r>
      <w:r w:rsidR="00196AF8" w:rsidRPr="00BF6F9C">
        <w:rPr>
          <w:sz w:val="18"/>
          <w:szCs w:val="18"/>
          <w:lang w:val="nl-NL"/>
        </w:rPr>
        <w:t xml:space="preserve"> </w:t>
      </w:r>
    </w:p>
    <w:tbl>
      <w:tblPr>
        <w:tblpPr w:leftFromText="180" w:rightFromText="180" w:vertAnchor="text" w:horzAnchor="margin" w:tblpY="175"/>
        <w:tblW w:w="9670" w:type="dxa"/>
        <w:tblBorders>
          <w:top w:val="single" w:sz="4" w:space="0" w:color="auto"/>
          <w:left w:val="single" w:sz="4" w:space="0" w:color="auto"/>
          <w:bottom w:val="single" w:sz="4" w:space="0" w:color="auto"/>
          <w:right w:val="single" w:sz="4" w:space="0" w:color="auto"/>
        </w:tblBorders>
        <w:shd w:val="clear" w:color="auto" w:fill="C5C7F1"/>
        <w:tblLook w:val="01E0" w:firstRow="1" w:lastRow="1" w:firstColumn="1" w:lastColumn="1" w:noHBand="0" w:noVBand="0"/>
      </w:tblPr>
      <w:tblGrid>
        <w:gridCol w:w="9670"/>
      </w:tblGrid>
      <w:tr w:rsidR="0033257C" w:rsidRPr="00BF6F9C" w14:paraId="05C385B3" w14:textId="77777777" w:rsidTr="004E3571">
        <w:trPr>
          <w:trHeight w:val="1839"/>
        </w:trPr>
        <w:tc>
          <w:tcPr>
            <w:tcW w:w="9670" w:type="dxa"/>
            <w:shd w:val="clear" w:color="auto" w:fill="C5C7F1"/>
          </w:tcPr>
          <w:p w14:paraId="0B7234FE" w14:textId="77777777" w:rsidR="00D61D1A" w:rsidRPr="00BF6F9C" w:rsidRDefault="00D61D1A" w:rsidP="00004345">
            <w:pPr>
              <w:keepNext/>
              <w:autoSpaceDE w:val="0"/>
              <w:autoSpaceDN w:val="0"/>
              <w:adjustRightInd w:val="0"/>
              <w:spacing w:after="20"/>
              <w:rPr>
                <w:rFonts w:cs="^Ö'C0œÒ◊"/>
                <w:b/>
                <w:sz w:val="4"/>
                <w:szCs w:val="19"/>
                <w:lang w:val="nl-NL"/>
              </w:rPr>
            </w:pPr>
          </w:p>
          <w:p w14:paraId="3767982A" w14:textId="77777777" w:rsidR="0033257C" w:rsidRPr="00BF6F9C" w:rsidRDefault="0033257C" w:rsidP="00004345">
            <w:pPr>
              <w:keepNext/>
              <w:autoSpaceDE w:val="0"/>
              <w:autoSpaceDN w:val="0"/>
              <w:adjustRightInd w:val="0"/>
              <w:spacing w:after="20"/>
              <w:rPr>
                <w:rFonts w:cs="^Ö'C0œÒ◊"/>
                <w:b/>
                <w:sz w:val="18"/>
                <w:szCs w:val="19"/>
                <w:u w:val="single"/>
                <w:lang w:val="nl-NL"/>
              </w:rPr>
            </w:pPr>
            <w:r w:rsidRPr="00BF6F9C">
              <w:rPr>
                <w:rFonts w:cs="^Ö'C0œÒ◊"/>
                <w:b/>
                <w:sz w:val="18"/>
                <w:szCs w:val="19"/>
                <w:u w:val="single"/>
                <w:lang w:val="nl-NL"/>
              </w:rPr>
              <w:t>Disclaimer</w:t>
            </w:r>
          </w:p>
          <w:p w14:paraId="1C455D53" w14:textId="77777777" w:rsidR="00AC02FF" w:rsidRPr="00BF6F9C" w:rsidRDefault="00AC02FF" w:rsidP="00004345">
            <w:pPr>
              <w:keepNext/>
              <w:autoSpaceDE w:val="0"/>
              <w:autoSpaceDN w:val="0"/>
              <w:adjustRightInd w:val="0"/>
              <w:spacing w:after="20"/>
              <w:rPr>
                <w:rFonts w:cs="^Ö'C0œÒ◊"/>
                <w:b/>
                <w:sz w:val="10"/>
                <w:szCs w:val="19"/>
                <w:u w:val="single"/>
                <w:lang w:val="nl-NL"/>
              </w:rPr>
            </w:pPr>
          </w:p>
          <w:p w14:paraId="2C19F95E" w14:textId="6FC43C08" w:rsidR="0033257C" w:rsidRPr="00BF6F9C" w:rsidRDefault="00413D70" w:rsidP="00004345">
            <w:pPr>
              <w:spacing w:after="20"/>
              <w:jc w:val="both"/>
              <w:rPr>
                <w:sz w:val="18"/>
                <w:szCs w:val="19"/>
                <w:lang w:val="nl-NL"/>
              </w:rPr>
            </w:pPr>
            <w:r w:rsidRPr="00BF6F9C">
              <w:rPr>
                <w:sz w:val="18"/>
                <w:szCs w:val="19"/>
                <w:lang w:val="nl-NL"/>
              </w:rPr>
              <w:t>Dit P</w:t>
            </w:r>
            <w:r w:rsidR="0033257C" w:rsidRPr="00BF6F9C">
              <w:rPr>
                <w:sz w:val="18"/>
                <w:szCs w:val="19"/>
                <w:lang w:val="nl-NL"/>
              </w:rPr>
              <w:t xml:space="preserve">ROSAFE </w:t>
            </w:r>
            <w:r w:rsidRPr="00BF6F9C">
              <w:rPr>
                <w:sz w:val="18"/>
                <w:szCs w:val="19"/>
                <w:lang w:val="nl-NL"/>
              </w:rPr>
              <w:t>pers</w:t>
            </w:r>
            <w:r w:rsidR="00BF6F9C" w:rsidRPr="00BF6F9C">
              <w:rPr>
                <w:sz w:val="18"/>
                <w:szCs w:val="19"/>
                <w:lang w:val="nl-NL"/>
              </w:rPr>
              <w:t xml:space="preserve">bericht gaat uit van </w:t>
            </w:r>
            <w:r w:rsidRPr="00BF6F9C">
              <w:rPr>
                <w:sz w:val="18"/>
                <w:szCs w:val="19"/>
                <w:lang w:val="nl-NL"/>
              </w:rPr>
              <w:t xml:space="preserve">de  Actie </w:t>
            </w:r>
            <w:r w:rsidR="0033257C" w:rsidRPr="00BF6F9C">
              <w:rPr>
                <w:sz w:val="18"/>
                <w:szCs w:val="19"/>
                <w:lang w:val="nl-NL"/>
              </w:rPr>
              <w:t xml:space="preserve">MSTyr15, </w:t>
            </w:r>
            <w:r w:rsidRPr="00BF6F9C">
              <w:rPr>
                <w:sz w:val="18"/>
                <w:szCs w:val="19"/>
                <w:lang w:val="nl-NL"/>
              </w:rPr>
              <w:t xml:space="preserve">die wordt gefinancierd door </w:t>
            </w:r>
            <w:r w:rsidR="00BF6F9C" w:rsidRPr="00BF6F9C">
              <w:rPr>
                <w:sz w:val="18"/>
                <w:szCs w:val="19"/>
                <w:lang w:val="nl-NL"/>
              </w:rPr>
              <w:t xml:space="preserve">Horizon 2020, het onderzoeks- en innovatieprogramma van de Europese Unie, via subsidieovereenkomst nummer </w:t>
            </w:r>
            <w:r w:rsidR="0033257C" w:rsidRPr="00BF6F9C">
              <w:rPr>
                <w:sz w:val="18"/>
                <w:szCs w:val="19"/>
                <w:lang w:val="nl-NL"/>
              </w:rPr>
              <w:t>696124.</w:t>
            </w:r>
          </w:p>
          <w:p w14:paraId="7B80582C" w14:textId="65712F34" w:rsidR="0033257C" w:rsidRPr="00BF6F9C" w:rsidRDefault="00BF6F9C" w:rsidP="00BF6F9C">
            <w:pPr>
              <w:autoSpaceDE w:val="0"/>
              <w:autoSpaceDN w:val="0"/>
              <w:adjustRightInd w:val="0"/>
              <w:spacing w:after="20"/>
              <w:jc w:val="both"/>
              <w:rPr>
                <w:rFonts w:ascii="Cambria" w:hAnsi="Cambria"/>
                <w:color w:val="FFFFFF"/>
                <w:sz w:val="19"/>
                <w:szCs w:val="19"/>
                <w:lang w:val="nl-NL"/>
              </w:rPr>
            </w:pPr>
            <w:r w:rsidRPr="00BF6F9C">
              <w:rPr>
                <w:sz w:val="18"/>
                <w:szCs w:val="19"/>
                <w:lang w:val="nl-NL"/>
              </w:rPr>
              <w:t>De inhoud van dit bericht weerspiegelt de standpunten van de auteur die er de exclusieve verantwoordelijkheid voor draagt</w:t>
            </w:r>
            <w:r w:rsidR="0033257C" w:rsidRPr="00BF6F9C">
              <w:rPr>
                <w:sz w:val="18"/>
                <w:szCs w:val="19"/>
                <w:lang w:val="nl-NL"/>
              </w:rPr>
              <w:t xml:space="preserve">; </w:t>
            </w:r>
            <w:r w:rsidRPr="00BF6F9C">
              <w:rPr>
                <w:sz w:val="18"/>
                <w:szCs w:val="19"/>
                <w:lang w:val="nl-NL"/>
              </w:rPr>
              <w:t xml:space="preserve">het kan geenszins worden gelezen als een weerspiegeling van de standpunten van het </w:t>
            </w:r>
            <w:r w:rsidRPr="00BF6F9C">
              <w:rPr>
                <w:i/>
                <w:sz w:val="18"/>
                <w:szCs w:val="19"/>
                <w:lang w:val="nl-NL"/>
              </w:rPr>
              <w:t xml:space="preserve">Uitvoerend Agentschap voor het Midden- en Kleinbedrijf </w:t>
            </w:r>
            <w:r w:rsidR="0033257C" w:rsidRPr="00BF6F9C">
              <w:rPr>
                <w:i/>
                <w:sz w:val="18"/>
                <w:szCs w:val="19"/>
                <w:lang w:val="nl-NL"/>
              </w:rPr>
              <w:t>(EASME)</w:t>
            </w:r>
            <w:r w:rsidR="0033257C" w:rsidRPr="00BF6F9C">
              <w:rPr>
                <w:sz w:val="18"/>
                <w:szCs w:val="19"/>
                <w:lang w:val="nl-NL"/>
              </w:rPr>
              <w:t xml:space="preserve"> o</w:t>
            </w:r>
            <w:r w:rsidRPr="00BF6F9C">
              <w:rPr>
                <w:sz w:val="18"/>
                <w:szCs w:val="19"/>
                <w:lang w:val="nl-NL"/>
              </w:rPr>
              <w:t xml:space="preserve">f van gelijk welk ander orgaan van de Europese Unie.  </w:t>
            </w:r>
            <w:r w:rsidR="0033257C" w:rsidRPr="00BF6F9C">
              <w:rPr>
                <w:i/>
                <w:sz w:val="18"/>
                <w:szCs w:val="19"/>
                <w:lang w:val="nl-NL"/>
              </w:rPr>
              <w:t>EASME</w:t>
            </w:r>
            <w:r w:rsidR="0033257C" w:rsidRPr="00BF6F9C">
              <w:rPr>
                <w:sz w:val="18"/>
                <w:szCs w:val="19"/>
                <w:lang w:val="nl-NL"/>
              </w:rPr>
              <w:t xml:space="preserve"> </w:t>
            </w:r>
            <w:r w:rsidRPr="00BF6F9C">
              <w:rPr>
                <w:sz w:val="18"/>
                <w:szCs w:val="19"/>
                <w:lang w:val="nl-NL"/>
              </w:rPr>
              <w:t xml:space="preserve">wijst elke verantwoordelijkheid af voor elk gebruik dat van de erin vervatte  informatie wordt gemaakt. </w:t>
            </w:r>
          </w:p>
        </w:tc>
      </w:tr>
    </w:tbl>
    <w:p w14:paraId="38ECE54A" w14:textId="77777777" w:rsidR="0069381B" w:rsidRPr="00BF6F9C" w:rsidRDefault="0069381B" w:rsidP="00206383">
      <w:pPr>
        <w:rPr>
          <w:lang w:val="nl-NL"/>
        </w:rPr>
      </w:pPr>
    </w:p>
    <w:sectPr w:rsidR="0069381B" w:rsidRPr="00BF6F9C" w:rsidSect="001C5BE2">
      <w:headerReference w:type="default" r:id="rId20"/>
      <w:footerReference w:type="default" r:id="rId21"/>
      <w:pgSz w:w="12240" w:h="15840"/>
      <w:pgMar w:top="2090" w:right="1440" w:bottom="993"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FA01" w14:textId="77777777" w:rsidR="00734FC7" w:rsidRDefault="00734FC7" w:rsidP="0069381B">
      <w:r>
        <w:separator/>
      </w:r>
    </w:p>
  </w:endnote>
  <w:endnote w:type="continuationSeparator" w:id="0">
    <w:p w14:paraId="19B78736" w14:textId="77777777" w:rsidR="00734FC7" w:rsidRDefault="00734FC7" w:rsidP="0069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Ö'C0œÒ◊">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98898"/>
      <w:docPartObj>
        <w:docPartGallery w:val="Page Numbers (Bottom of Page)"/>
        <w:docPartUnique/>
      </w:docPartObj>
    </w:sdtPr>
    <w:sdtEndPr/>
    <w:sdtContent>
      <w:p w14:paraId="6E0729D1" w14:textId="5239D1D6" w:rsidR="006D0F9C" w:rsidRPr="009166A1" w:rsidRDefault="009166A1" w:rsidP="009166A1">
        <w:pPr>
          <w:pStyle w:val="Footer"/>
          <w:jc w:val="right"/>
          <w:rPr>
            <w:sz w:val="16"/>
          </w:rPr>
        </w:pPr>
        <w:r>
          <w:rPr>
            <w:noProof/>
          </w:rPr>
          <mc:AlternateContent>
            <mc:Choice Requires="wps">
              <w:drawing>
                <wp:anchor distT="0" distB="0" distL="114300" distR="114300" simplePos="0" relativeHeight="251662336" behindDoc="0" locked="0" layoutInCell="1" allowOverlap="1" wp14:anchorId="4371A9FE" wp14:editId="7A935182">
                  <wp:simplePos x="0" y="0"/>
                  <wp:positionH relativeFrom="column">
                    <wp:posOffset>-55418</wp:posOffset>
                  </wp:positionH>
                  <wp:positionV relativeFrom="paragraph">
                    <wp:posOffset>-31000</wp:posOffset>
                  </wp:positionV>
                  <wp:extent cx="5999018" cy="415637"/>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018" cy="415637"/>
                          </a:xfrm>
                          <a:prstGeom prst="rect">
                            <a:avLst/>
                          </a:prstGeom>
                          <a:noFill/>
                          <a:ln w="9525">
                            <a:noFill/>
                            <a:miter lim="800000"/>
                            <a:headEnd/>
                            <a:tailEnd/>
                          </a:ln>
                        </wps:spPr>
                        <wps:txbx>
                          <w:txbxContent>
                            <w:p w14:paraId="52345B77" w14:textId="77777777" w:rsidR="009166A1" w:rsidRPr="00CD3117" w:rsidRDefault="009166A1" w:rsidP="00736F0E">
                              <w:pPr>
                                <w:pStyle w:val="Footer"/>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1" w:history="1">
                                <w:r w:rsidRPr="003529B9">
                                  <w:rPr>
                                    <w:color w:val="0A3296"/>
                                    <w:sz w:val="16"/>
                                    <w:szCs w:val="16"/>
                                  </w:rPr>
                                  <w:t>info@prosafe.org</w:t>
                                </w:r>
                              </w:hyperlink>
                              <w:r w:rsidRPr="003529B9">
                                <w:rPr>
                                  <w:rFonts w:cs="^Ö'C0œÒ◊"/>
                                  <w:color w:val="0A3296"/>
                                  <w:sz w:val="16"/>
                                  <w:szCs w:val="16"/>
                                </w:rPr>
                                <w:t xml:space="preserve"> - </w:t>
                              </w:r>
                              <w:hyperlink r:id="rId2"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1A9FE" id="_x0000_t202" coordsize="21600,21600" o:spt="202" path="m,l,21600r21600,l21600,xe">
                  <v:stroke joinstyle="miter"/>
                  <v:path gradientshapeok="t" o:connecttype="rect"/>
                </v:shapetype>
                <v:shape id="Text Box 2" o:spid="_x0000_s1026" type="#_x0000_t202" style="position:absolute;left:0;text-align:left;margin-left:-4.35pt;margin-top:-2.45pt;width:472.3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uFDQIAAPQ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" filled="f" stroked="f">
                  <v:textbox>
                    <w:txbxContent>
                      <w:p w14:paraId="52345B77" w14:textId="77777777" w:rsidR="009166A1" w:rsidRPr="00CD3117" w:rsidRDefault="009166A1" w:rsidP="00736F0E">
                        <w:pPr>
                          <w:pStyle w:val="Voettekst"/>
                          <w:spacing w:line="276" w:lineRule="auto"/>
                          <w:jc w:val="center"/>
                          <w:rPr>
                            <w:rFonts w:ascii="Trebuchet MS" w:eastAsia="Times New Roman" w:hAnsi="Trebuchet MS" w:cs="^Ö'C0œÒ◊"/>
                            <w:color w:val="0A3296"/>
                            <w:spacing w:val="2"/>
                            <w:sz w:val="16"/>
                            <w:szCs w:val="18"/>
                            <w:lang w:val="en-GB"/>
                          </w:rPr>
                        </w:pPr>
                        <w:r w:rsidRPr="00CD3117">
                          <w:rPr>
                            <w:rFonts w:ascii="Trebuchet MS" w:eastAsia="Times New Roman" w:hAnsi="Trebuchet MS" w:cs="^Ö'C0œÒ◊"/>
                            <w:color w:val="0A3296"/>
                            <w:spacing w:val="2"/>
                            <w:sz w:val="16"/>
                            <w:szCs w:val="18"/>
                            <w:lang w:val="en-GB"/>
                          </w:rPr>
                          <w:t>PROSAFE Office, Avenue des Arts 41, B-1040 Brussels, Belgium</w:t>
                        </w:r>
                      </w:p>
                      <w:p w14:paraId="3DA5B873" w14:textId="77777777" w:rsidR="009166A1" w:rsidRPr="00CD3117" w:rsidRDefault="009166A1" w:rsidP="00736F0E">
                        <w:pPr>
                          <w:widowControl w:val="0"/>
                          <w:autoSpaceDE w:val="0"/>
                          <w:autoSpaceDN w:val="0"/>
                          <w:adjustRightInd w:val="0"/>
                          <w:spacing w:line="276" w:lineRule="auto"/>
                          <w:jc w:val="center"/>
                          <w:rPr>
                            <w:rFonts w:cs="^Ö'C0œÒ◊"/>
                            <w:color w:val="0A3296"/>
                            <w:sz w:val="16"/>
                            <w:szCs w:val="18"/>
                          </w:rPr>
                        </w:pPr>
                        <w:r w:rsidRPr="00CD3117">
                          <w:rPr>
                            <w:rFonts w:cs="^Ö'C0œÒ◊"/>
                            <w:color w:val="0A3296"/>
                            <w:sz w:val="16"/>
                            <w:szCs w:val="18"/>
                          </w:rPr>
                          <w:t>Tel: +32-2-8080 996</w:t>
                        </w:r>
                        <w:r w:rsidRPr="003529B9">
                          <w:rPr>
                            <w:rFonts w:cs="^Ö'C0œÒ◊"/>
                            <w:color w:val="0A3296"/>
                            <w:sz w:val="16"/>
                            <w:szCs w:val="16"/>
                          </w:rPr>
                          <w:t xml:space="preserve"> - </w:t>
                        </w:r>
                        <w:hyperlink r:id="rId3" w:history="1">
                          <w:r w:rsidRPr="003529B9">
                            <w:rPr>
                              <w:color w:val="0A3296"/>
                              <w:sz w:val="16"/>
                              <w:szCs w:val="16"/>
                            </w:rPr>
                            <w:t>info@prosafe.org</w:t>
                          </w:r>
                        </w:hyperlink>
                        <w:r w:rsidRPr="003529B9">
                          <w:rPr>
                            <w:rFonts w:cs="^Ö'C0œÒ◊"/>
                            <w:color w:val="0A3296"/>
                            <w:sz w:val="16"/>
                            <w:szCs w:val="16"/>
                          </w:rPr>
                          <w:t xml:space="preserve"> - </w:t>
                        </w:r>
                        <w:hyperlink r:id="rId4" w:history="1">
                          <w:r w:rsidRPr="003529B9">
                            <w:rPr>
                              <w:color w:val="0A3296"/>
                              <w:sz w:val="16"/>
                              <w:szCs w:val="16"/>
                            </w:rPr>
                            <w:t>www.prosafe.org</w:t>
                          </w:r>
                        </w:hyperlink>
                      </w:p>
                      <w:p w14:paraId="19A1F3EA" w14:textId="77777777" w:rsidR="009166A1" w:rsidRPr="00CD3117" w:rsidRDefault="009166A1" w:rsidP="00736F0E">
                        <w:pPr>
                          <w:jc w:val="center"/>
                          <w:rPr>
                            <w:sz w:val="20"/>
                          </w:rPr>
                        </w:pPr>
                      </w:p>
                    </w:txbxContent>
                  </v:textbox>
                </v:shape>
              </w:pict>
            </mc:Fallback>
          </mc:AlternateContent>
        </w:r>
        <w:r w:rsidR="006D0F9C">
          <w:t xml:space="preserve">| </w:t>
        </w:r>
        <w:r w:rsidR="006D0F9C" w:rsidRPr="002A1022">
          <w:rPr>
            <w:rFonts w:ascii="Trebuchet MS" w:hAnsi="Trebuchet MS"/>
            <w:sz w:val="20"/>
          </w:rPr>
          <w:fldChar w:fldCharType="begin"/>
        </w:r>
        <w:r w:rsidR="006D0F9C" w:rsidRPr="002A1022">
          <w:rPr>
            <w:rFonts w:ascii="Trebuchet MS" w:hAnsi="Trebuchet MS"/>
            <w:sz w:val="20"/>
          </w:rPr>
          <w:instrText xml:space="preserve"> PAGE   \* MERGEFORMAT </w:instrText>
        </w:r>
        <w:r w:rsidR="006D0F9C" w:rsidRPr="002A1022">
          <w:rPr>
            <w:rFonts w:ascii="Trebuchet MS" w:hAnsi="Trebuchet MS"/>
            <w:sz w:val="20"/>
          </w:rPr>
          <w:fldChar w:fldCharType="separate"/>
        </w:r>
        <w:r w:rsidR="007030C6">
          <w:rPr>
            <w:rFonts w:ascii="Trebuchet MS" w:hAnsi="Trebuchet MS"/>
            <w:noProof/>
            <w:sz w:val="20"/>
          </w:rPr>
          <w:t>1</w:t>
        </w:r>
        <w:r w:rsidR="006D0F9C" w:rsidRPr="002A1022">
          <w:rPr>
            <w:rFonts w:ascii="Trebuchet MS" w:hAnsi="Trebuchet MS"/>
            <w:noProof/>
            <w:sz w:val="20"/>
          </w:rPr>
          <w:fldChar w:fldCharType="end"/>
        </w:r>
        <w:r w:rsidR="006D0F9C">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60B4" w14:textId="77777777" w:rsidR="00734FC7" w:rsidRDefault="00734FC7" w:rsidP="0069381B">
      <w:r>
        <w:separator/>
      </w:r>
    </w:p>
  </w:footnote>
  <w:footnote w:type="continuationSeparator" w:id="0">
    <w:p w14:paraId="71F70202" w14:textId="77777777" w:rsidR="00734FC7" w:rsidRDefault="00734FC7" w:rsidP="0069381B">
      <w:r>
        <w:continuationSeparator/>
      </w:r>
    </w:p>
  </w:footnote>
  <w:footnote w:id="1">
    <w:p w14:paraId="00AAD913" w14:textId="77777777" w:rsidR="00670276" w:rsidRPr="009C0D16" w:rsidRDefault="00670276" w:rsidP="00670276">
      <w:pPr>
        <w:pStyle w:val="FootnoteText"/>
        <w:rPr>
          <w:sz w:val="16"/>
          <w:szCs w:val="16"/>
          <w:lang w:val="en-US"/>
        </w:rPr>
      </w:pPr>
      <w:r w:rsidRPr="009C0D16">
        <w:rPr>
          <w:rStyle w:val="FootnoteReference"/>
          <w:sz w:val="16"/>
          <w:szCs w:val="16"/>
        </w:rPr>
        <w:footnoteRef/>
      </w:r>
      <w:r w:rsidRPr="009C0D16">
        <w:rPr>
          <w:sz w:val="16"/>
          <w:szCs w:val="16"/>
        </w:rPr>
        <w:t xml:space="preserve"> </w:t>
      </w:r>
      <w:hyperlink r:id="rId1" w:history="1">
        <w:r w:rsidRPr="009C0D16">
          <w:rPr>
            <w:rStyle w:val="Hyperlink"/>
            <w:sz w:val="16"/>
            <w:szCs w:val="16"/>
          </w:rPr>
          <w:t>https://eur-lex.europa.eu/legal-content/EN/ALL/?uri=celex:32011R1235</w:t>
        </w:r>
      </w:hyperlink>
    </w:p>
  </w:footnote>
  <w:footnote w:id="2">
    <w:p w14:paraId="3556504C" w14:textId="77777777" w:rsidR="00A759CF" w:rsidRPr="00A759CF" w:rsidRDefault="00A759CF" w:rsidP="00937AFA">
      <w:pPr>
        <w:pStyle w:val="FootnoteText"/>
        <w:rPr>
          <w:lang w:val="en-US"/>
        </w:rPr>
      </w:pPr>
      <w:r w:rsidRPr="009C0D16">
        <w:rPr>
          <w:rStyle w:val="FootnoteReference"/>
          <w:sz w:val="16"/>
          <w:szCs w:val="16"/>
        </w:rPr>
        <w:footnoteRef/>
      </w:r>
      <w:r w:rsidRPr="009C0D16">
        <w:rPr>
          <w:sz w:val="16"/>
          <w:szCs w:val="16"/>
        </w:rPr>
        <w:t xml:space="preserve"> </w:t>
      </w:r>
      <w:hyperlink r:id="rId2" w:history="1">
        <w:r w:rsidRPr="009C0D16">
          <w:rPr>
            <w:rStyle w:val="Hyperlink"/>
            <w:sz w:val="16"/>
            <w:szCs w:val="16"/>
            <w:lang w:val="cs-CZ"/>
          </w:rPr>
          <w:t>https://ec.europa.eu/growth/single-market/goods/building-blocks/icsms_en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B4C6" w14:textId="107DE763" w:rsidR="0069381B" w:rsidRDefault="0033177A">
    <w:pPr>
      <w:pStyle w:val="Header"/>
    </w:pPr>
    <w:r>
      <w:rPr>
        <w:noProof/>
      </w:rPr>
      <w:drawing>
        <wp:anchor distT="0" distB="0" distL="114300" distR="114300" simplePos="0" relativeHeight="251658240" behindDoc="0" locked="0" layoutInCell="1" allowOverlap="1" wp14:anchorId="3DDEC08C" wp14:editId="7807E9CE">
          <wp:simplePos x="0" y="0"/>
          <wp:positionH relativeFrom="margin">
            <wp:posOffset>-70485</wp:posOffset>
          </wp:positionH>
          <wp:positionV relativeFrom="margin">
            <wp:posOffset>-911860</wp:posOffset>
          </wp:positionV>
          <wp:extent cx="1357630" cy="706755"/>
          <wp:effectExtent l="0" t="0" r="0" b="0"/>
          <wp:wrapSquare wrapText="bothSides"/>
          <wp:docPr id="3" name="Picture 3" descr="ProSafe_logo_2014_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afe_logo_2014_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66">
      <w:rPr>
        <w:noProof/>
      </w:rPr>
      <w:drawing>
        <wp:anchor distT="0" distB="0" distL="114300" distR="114300" simplePos="0" relativeHeight="251660288" behindDoc="0" locked="0" layoutInCell="1" allowOverlap="1" wp14:anchorId="4FE915C9" wp14:editId="3BF59B35">
          <wp:simplePos x="0" y="0"/>
          <wp:positionH relativeFrom="column">
            <wp:posOffset>4036060</wp:posOffset>
          </wp:positionH>
          <wp:positionV relativeFrom="paragraph">
            <wp:posOffset>144780</wp:posOffset>
          </wp:positionV>
          <wp:extent cx="2077720" cy="530860"/>
          <wp:effectExtent l="0" t="0" r="0" b="2540"/>
          <wp:wrapSquare wrapText="bothSides"/>
          <wp:docPr id="2" name="Picture 2"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40C">
      <w:rPr>
        <w:noProof/>
      </w:rPr>
      <w:drawing>
        <wp:anchor distT="0" distB="0" distL="114300" distR="114300" simplePos="0" relativeHeight="251659264" behindDoc="0" locked="0" layoutInCell="1" allowOverlap="1" wp14:anchorId="58501C44" wp14:editId="492269F3">
          <wp:simplePos x="0" y="0"/>
          <wp:positionH relativeFrom="margin">
            <wp:posOffset>2179320</wp:posOffset>
          </wp:positionH>
          <wp:positionV relativeFrom="margin">
            <wp:posOffset>-780415</wp:posOffset>
          </wp:positionV>
          <wp:extent cx="1043305" cy="574675"/>
          <wp:effectExtent l="0" t="0" r="4445" b="0"/>
          <wp:wrapSquare wrapText="bothSides"/>
          <wp:docPr id="1" name="Picture 1" descr="Logo MSTyr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STyr15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30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81B">
      <w:ptab w:relativeTo="margin" w:alignment="center" w:leader="none"/>
    </w:r>
    <w:r w:rsidR="0069381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35AA"/>
    <w:multiLevelType w:val="hybridMultilevel"/>
    <w:tmpl w:val="14488DDC"/>
    <w:lvl w:ilvl="0" w:tplc="B768998E">
      <w:start w:val="1"/>
      <w:numFmt w:val="bullet"/>
      <w:lvlText w:val="•"/>
      <w:lvlJc w:val="left"/>
      <w:pPr>
        <w:tabs>
          <w:tab w:val="num" w:pos="720"/>
        </w:tabs>
        <w:ind w:left="720" w:hanging="360"/>
      </w:pPr>
      <w:rPr>
        <w:rFonts w:ascii="Times New Roman" w:hAnsi="Times New Roman" w:hint="default"/>
      </w:rPr>
    </w:lvl>
    <w:lvl w:ilvl="1" w:tplc="5E6CDC02" w:tentative="1">
      <w:start w:val="1"/>
      <w:numFmt w:val="bullet"/>
      <w:lvlText w:val="•"/>
      <w:lvlJc w:val="left"/>
      <w:pPr>
        <w:tabs>
          <w:tab w:val="num" w:pos="1440"/>
        </w:tabs>
        <w:ind w:left="1440" w:hanging="360"/>
      </w:pPr>
      <w:rPr>
        <w:rFonts w:ascii="Times New Roman" w:hAnsi="Times New Roman" w:hint="default"/>
      </w:rPr>
    </w:lvl>
    <w:lvl w:ilvl="2" w:tplc="F508D0E4">
      <w:start w:val="1"/>
      <w:numFmt w:val="bullet"/>
      <w:lvlText w:val="•"/>
      <w:lvlJc w:val="left"/>
      <w:pPr>
        <w:tabs>
          <w:tab w:val="num" w:pos="2160"/>
        </w:tabs>
        <w:ind w:left="2160" w:hanging="360"/>
      </w:pPr>
      <w:rPr>
        <w:rFonts w:ascii="Times New Roman" w:hAnsi="Times New Roman" w:hint="default"/>
      </w:rPr>
    </w:lvl>
    <w:lvl w:ilvl="3" w:tplc="6F98A71C" w:tentative="1">
      <w:start w:val="1"/>
      <w:numFmt w:val="bullet"/>
      <w:lvlText w:val="•"/>
      <w:lvlJc w:val="left"/>
      <w:pPr>
        <w:tabs>
          <w:tab w:val="num" w:pos="2880"/>
        </w:tabs>
        <w:ind w:left="2880" w:hanging="360"/>
      </w:pPr>
      <w:rPr>
        <w:rFonts w:ascii="Times New Roman" w:hAnsi="Times New Roman" w:hint="default"/>
      </w:rPr>
    </w:lvl>
    <w:lvl w:ilvl="4" w:tplc="8DE4DEC6" w:tentative="1">
      <w:start w:val="1"/>
      <w:numFmt w:val="bullet"/>
      <w:lvlText w:val="•"/>
      <w:lvlJc w:val="left"/>
      <w:pPr>
        <w:tabs>
          <w:tab w:val="num" w:pos="3600"/>
        </w:tabs>
        <w:ind w:left="3600" w:hanging="360"/>
      </w:pPr>
      <w:rPr>
        <w:rFonts w:ascii="Times New Roman" w:hAnsi="Times New Roman" w:hint="default"/>
      </w:rPr>
    </w:lvl>
    <w:lvl w:ilvl="5" w:tplc="13785C3C" w:tentative="1">
      <w:start w:val="1"/>
      <w:numFmt w:val="bullet"/>
      <w:lvlText w:val="•"/>
      <w:lvlJc w:val="left"/>
      <w:pPr>
        <w:tabs>
          <w:tab w:val="num" w:pos="4320"/>
        </w:tabs>
        <w:ind w:left="4320" w:hanging="360"/>
      </w:pPr>
      <w:rPr>
        <w:rFonts w:ascii="Times New Roman" w:hAnsi="Times New Roman" w:hint="default"/>
      </w:rPr>
    </w:lvl>
    <w:lvl w:ilvl="6" w:tplc="C882A3B8" w:tentative="1">
      <w:start w:val="1"/>
      <w:numFmt w:val="bullet"/>
      <w:lvlText w:val="•"/>
      <w:lvlJc w:val="left"/>
      <w:pPr>
        <w:tabs>
          <w:tab w:val="num" w:pos="5040"/>
        </w:tabs>
        <w:ind w:left="5040" w:hanging="360"/>
      </w:pPr>
      <w:rPr>
        <w:rFonts w:ascii="Times New Roman" w:hAnsi="Times New Roman" w:hint="default"/>
      </w:rPr>
    </w:lvl>
    <w:lvl w:ilvl="7" w:tplc="66CC05E8" w:tentative="1">
      <w:start w:val="1"/>
      <w:numFmt w:val="bullet"/>
      <w:lvlText w:val="•"/>
      <w:lvlJc w:val="left"/>
      <w:pPr>
        <w:tabs>
          <w:tab w:val="num" w:pos="5760"/>
        </w:tabs>
        <w:ind w:left="5760" w:hanging="360"/>
      </w:pPr>
      <w:rPr>
        <w:rFonts w:ascii="Times New Roman" w:hAnsi="Times New Roman" w:hint="default"/>
      </w:rPr>
    </w:lvl>
    <w:lvl w:ilvl="8" w:tplc="000E60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1B"/>
    <w:rsid w:val="00004345"/>
    <w:rsid w:val="00005BBE"/>
    <w:rsid w:val="0000743C"/>
    <w:rsid w:val="00012875"/>
    <w:rsid w:val="00044EF8"/>
    <w:rsid w:val="00066B83"/>
    <w:rsid w:val="000700BB"/>
    <w:rsid w:val="00082D0B"/>
    <w:rsid w:val="000A181A"/>
    <w:rsid w:val="000A2AB9"/>
    <w:rsid w:val="000A2C68"/>
    <w:rsid w:val="000A7FF4"/>
    <w:rsid w:val="000C7121"/>
    <w:rsid w:val="000D31D6"/>
    <w:rsid w:val="001069DA"/>
    <w:rsid w:val="001218CB"/>
    <w:rsid w:val="00135385"/>
    <w:rsid w:val="0014176F"/>
    <w:rsid w:val="00155204"/>
    <w:rsid w:val="00166DA3"/>
    <w:rsid w:val="00171160"/>
    <w:rsid w:val="0017478A"/>
    <w:rsid w:val="00176AB5"/>
    <w:rsid w:val="00194543"/>
    <w:rsid w:val="00196AF8"/>
    <w:rsid w:val="001A20DB"/>
    <w:rsid w:val="001A3071"/>
    <w:rsid w:val="001A7CD2"/>
    <w:rsid w:val="001B6F03"/>
    <w:rsid w:val="001C5BE2"/>
    <w:rsid w:val="001F084B"/>
    <w:rsid w:val="001F4C47"/>
    <w:rsid w:val="001F6102"/>
    <w:rsid w:val="00206383"/>
    <w:rsid w:val="002142FD"/>
    <w:rsid w:val="002212D5"/>
    <w:rsid w:val="0023075F"/>
    <w:rsid w:val="00245F35"/>
    <w:rsid w:val="00246DC1"/>
    <w:rsid w:val="00250855"/>
    <w:rsid w:val="00266F16"/>
    <w:rsid w:val="00286F99"/>
    <w:rsid w:val="00287FAD"/>
    <w:rsid w:val="002A1022"/>
    <w:rsid w:val="002C551E"/>
    <w:rsid w:val="002E6139"/>
    <w:rsid w:val="002F018C"/>
    <w:rsid w:val="0030517B"/>
    <w:rsid w:val="00306FCF"/>
    <w:rsid w:val="0033177A"/>
    <w:rsid w:val="0033257C"/>
    <w:rsid w:val="003434A9"/>
    <w:rsid w:val="00351D9E"/>
    <w:rsid w:val="003529B9"/>
    <w:rsid w:val="0035440C"/>
    <w:rsid w:val="00372BA5"/>
    <w:rsid w:val="003A53C4"/>
    <w:rsid w:val="003A6670"/>
    <w:rsid w:val="003B24FE"/>
    <w:rsid w:val="003C46D5"/>
    <w:rsid w:val="003C5569"/>
    <w:rsid w:val="003C5CF8"/>
    <w:rsid w:val="003D14A0"/>
    <w:rsid w:val="003E7054"/>
    <w:rsid w:val="003F49A2"/>
    <w:rsid w:val="0040699C"/>
    <w:rsid w:val="00413D70"/>
    <w:rsid w:val="00415319"/>
    <w:rsid w:val="00415359"/>
    <w:rsid w:val="004262C3"/>
    <w:rsid w:val="00435815"/>
    <w:rsid w:val="0043686F"/>
    <w:rsid w:val="00441398"/>
    <w:rsid w:val="004413AA"/>
    <w:rsid w:val="0044168A"/>
    <w:rsid w:val="004419D5"/>
    <w:rsid w:val="004428A7"/>
    <w:rsid w:val="00453A3A"/>
    <w:rsid w:val="00464FE1"/>
    <w:rsid w:val="00473101"/>
    <w:rsid w:val="004924F3"/>
    <w:rsid w:val="004979C6"/>
    <w:rsid w:val="004B05F4"/>
    <w:rsid w:val="004C0577"/>
    <w:rsid w:val="004D18AB"/>
    <w:rsid w:val="004D5CAB"/>
    <w:rsid w:val="004D68CB"/>
    <w:rsid w:val="004E3571"/>
    <w:rsid w:val="004F3E57"/>
    <w:rsid w:val="004F6ACE"/>
    <w:rsid w:val="005001C7"/>
    <w:rsid w:val="005342D7"/>
    <w:rsid w:val="00536380"/>
    <w:rsid w:val="00542FC5"/>
    <w:rsid w:val="005719AE"/>
    <w:rsid w:val="005805C0"/>
    <w:rsid w:val="005B62BA"/>
    <w:rsid w:val="005B6F6C"/>
    <w:rsid w:val="005D76E7"/>
    <w:rsid w:val="005E4943"/>
    <w:rsid w:val="005E7BE7"/>
    <w:rsid w:val="00602A66"/>
    <w:rsid w:val="00604D73"/>
    <w:rsid w:val="006216D7"/>
    <w:rsid w:val="00625201"/>
    <w:rsid w:val="006279F9"/>
    <w:rsid w:val="0063240B"/>
    <w:rsid w:val="0064205F"/>
    <w:rsid w:val="0064255A"/>
    <w:rsid w:val="00644089"/>
    <w:rsid w:val="006475DD"/>
    <w:rsid w:val="00655F73"/>
    <w:rsid w:val="006578A4"/>
    <w:rsid w:val="00663F76"/>
    <w:rsid w:val="00670276"/>
    <w:rsid w:val="00673DE9"/>
    <w:rsid w:val="006768C0"/>
    <w:rsid w:val="00683F92"/>
    <w:rsid w:val="00686F3F"/>
    <w:rsid w:val="0069381B"/>
    <w:rsid w:val="006A06C8"/>
    <w:rsid w:val="006C4A72"/>
    <w:rsid w:val="006D0F9C"/>
    <w:rsid w:val="006D67ED"/>
    <w:rsid w:val="006F7398"/>
    <w:rsid w:val="007030C6"/>
    <w:rsid w:val="007117FB"/>
    <w:rsid w:val="00715666"/>
    <w:rsid w:val="00715E5D"/>
    <w:rsid w:val="0072269F"/>
    <w:rsid w:val="00730244"/>
    <w:rsid w:val="007326F5"/>
    <w:rsid w:val="00734FC7"/>
    <w:rsid w:val="00736F0E"/>
    <w:rsid w:val="00757A8D"/>
    <w:rsid w:val="00761B74"/>
    <w:rsid w:val="00765022"/>
    <w:rsid w:val="007671A9"/>
    <w:rsid w:val="00773617"/>
    <w:rsid w:val="00773BBD"/>
    <w:rsid w:val="0077449E"/>
    <w:rsid w:val="007763C3"/>
    <w:rsid w:val="0078018C"/>
    <w:rsid w:val="00780A78"/>
    <w:rsid w:val="00781250"/>
    <w:rsid w:val="00786CC8"/>
    <w:rsid w:val="00795AC5"/>
    <w:rsid w:val="007B269A"/>
    <w:rsid w:val="007B32EB"/>
    <w:rsid w:val="007C573E"/>
    <w:rsid w:val="007D3C1C"/>
    <w:rsid w:val="007D61B2"/>
    <w:rsid w:val="007F434C"/>
    <w:rsid w:val="007F5C63"/>
    <w:rsid w:val="008036BC"/>
    <w:rsid w:val="00806748"/>
    <w:rsid w:val="00806989"/>
    <w:rsid w:val="00807C86"/>
    <w:rsid w:val="00813357"/>
    <w:rsid w:val="00813D9F"/>
    <w:rsid w:val="008150F9"/>
    <w:rsid w:val="0084469D"/>
    <w:rsid w:val="00847141"/>
    <w:rsid w:val="008535B4"/>
    <w:rsid w:val="00863168"/>
    <w:rsid w:val="008645CE"/>
    <w:rsid w:val="0086475F"/>
    <w:rsid w:val="008754EE"/>
    <w:rsid w:val="00881085"/>
    <w:rsid w:val="008929F7"/>
    <w:rsid w:val="008A00EB"/>
    <w:rsid w:val="008A53DC"/>
    <w:rsid w:val="008B2F9F"/>
    <w:rsid w:val="008D2202"/>
    <w:rsid w:val="008E353E"/>
    <w:rsid w:val="008F5476"/>
    <w:rsid w:val="008F6063"/>
    <w:rsid w:val="008F6A2E"/>
    <w:rsid w:val="0090312D"/>
    <w:rsid w:val="009166A1"/>
    <w:rsid w:val="0093346C"/>
    <w:rsid w:val="009362A6"/>
    <w:rsid w:val="00937AFA"/>
    <w:rsid w:val="00957D2D"/>
    <w:rsid w:val="00960B7B"/>
    <w:rsid w:val="00966696"/>
    <w:rsid w:val="0097012C"/>
    <w:rsid w:val="009755C0"/>
    <w:rsid w:val="00997CFD"/>
    <w:rsid w:val="009A27E9"/>
    <w:rsid w:val="009A400C"/>
    <w:rsid w:val="009B0462"/>
    <w:rsid w:val="009C0D16"/>
    <w:rsid w:val="009C1913"/>
    <w:rsid w:val="009D195C"/>
    <w:rsid w:val="009D527D"/>
    <w:rsid w:val="009E3EF6"/>
    <w:rsid w:val="009E52B0"/>
    <w:rsid w:val="009F37D7"/>
    <w:rsid w:val="009F4F43"/>
    <w:rsid w:val="009F7639"/>
    <w:rsid w:val="00A0422B"/>
    <w:rsid w:val="00A12882"/>
    <w:rsid w:val="00A2037D"/>
    <w:rsid w:val="00A20D52"/>
    <w:rsid w:val="00A32FE3"/>
    <w:rsid w:val="00A353B3"/>
    <w:rsid w:val="00A360D2"/>
    <w:rsid w:val="00A43E32"/>
    <w:rsid w:val="00A44EE3"/>
    <w:rsid w:val="00A53E4E"/>
    <w:rsid w:val="00A627FC"/>
    <w:rsid w:val="00A71D54"/>
    <w:rsid w:val="00A726D8"/>
    <w:rsid w:val="00A73990"/>
    <w:rsid w:val="00A759CF"/>
    <w:rsid w:val="00A827EC"/>
    <w:rsid w:val="00A85C84"/>
    <w:rsid w:val="00AA0C6A"/>
    <w:rsid w:val="00AB6B09"/>
    <w:rsid w:val="00AC02FF"/>
    <w:rsid w:val="00AE0DA9"/>
    <w:rsid w:val="00AE7C61"/>
    <w:rsid w:val="00AF47F6"/>
    <w:rsid w:val="00AF55CA"/>
    <w:rsid w:val="00B022AB"/>
    <w:rsid w:val="00B23EF5"/>
    <w:rsid w:val="00B3548E"/>
    <w:rsid w:val="00B454F5"/>
    <w:rsid w:val="00B4763F"/>
    <w:rsid w:val="00B5428F"/>
    <w:rsid w:val="00B56AD6"/>
    <w:rsid w:val="00B633B4"/>
    <w:rsid w:val="00B6447C"/>
    <w:rsid w:val="00B76E7C"/>
    <w:rsid w:val="00B77173"/>
    <w:rsid w:val="00B83EF1"/>
    <w:rsid w:val="00B91CE9"/>
    <w:rsid w:val="00BA2FA4"/>
    <w:rsid w:val="00BC060D"/>
    <w:rsid w:val="00BC1AA7"/>
    <w:rsid w:val="00BD70ED"/>
    <w:rsid w:val="00BF6F9C"/>
    <w:rsid w:val="00BF7AE0"/>
    <w:rsid w:val="00C069B6"/>
    <w:rsid w:val="00C305FB"/>
    <w:rsid w:val="00C37F4A"/>
    <w:rsid w:val="00C413C5"/>
    <w:rsid w:val="00C47CE2"/>
    <w:rsid w:val="00C56D66"/>
    <w:rsid w:val="00C616FE"/>
    <w:rsid w:val="00C62CEC"/>
    <w:rsid w:val="00C9159B"/>
    <w:rsid w:val="00CA17C7"/>
    <w:rsid w:val="00CA6B31"/>
    <w:rsid w:val="00CB7633"/>
    <w:rsid w:val="00CD3117"/>
    <w:rsid w:val="00CE0508"/>
    <w:rsid w:val="00CF54C7"/>
    <w:rsid w:val="00D022B3"/>
    <w:rsid w:val="00D031DF"/>
    <w:rsid w:val="00D14075"/>
    <w:rsid w:val="00D23CB2"/>
    <w:rsid w:val="00D2552F"/>
    <w:rsid w:val="00D31FBF"/>
    <w:rsid w:val="00D36AFF"/>
    <w:rsid w:val="00D42555"/>
    <w:rsid w:val="00D4611C"/>
    <w:rsid w:val="00D50EBE"/>
    <w:rsid w:val="00D51DD0"/>
    <w:rsid w:val="00D61D1A"/>
    <w:rsid w:val="00D67132"/>
    <w:rsid w:val="00D710A7"/>
    <w:rsid w:val="00D73641"/>
    <w:rsid w:val="00DB507E"/>
    <w:rsid w:val="00DC65DE"/>
    <w:rsid w:val="00DD1F06"/>
    <w:rsid w:val="00DD506D"/>
    <w:rsid w:val="00DE24DC"/>
    <w:rsid w:val="00DE3A8E"/>
    <w:rsid w:val="00DE6B16"/>
    <w:rsid w:val="00E0139D"/>
    <w:rsid w:val="00E01EF6"/>
    <w:rsid w:val="00E024E9"/>
    <w:rsid w:val="00E043C0"/>
    <w:rsid w:val="00E15A29"/>
    <w:rsid w:val="00E220C9"/>
    <w:rsid w:val="00E2612C"/>
    <w:rsid w:val="00E275C6"/>
    <w:rsid w:val="00E312BD"/>
    <w:rsid w:val="00E356CB"/>
    <w:rsid w:val="00E43F36"/>
    <w:rsid w:val="00E47362"/>
    <w:rsid w:val="00E530F0"/>
    <w:rsid w:val="00E67B81"/>
    <w:rsid w:val="00E76126"/>
    <w:rsid w:val="00E851B5"/>
    <w:rsid w:val="00E95F1C"/>
    <w:rsid w:val="00EA4ABB"/>
    <w:rsid w:val="00EA6E96"/>
    <w:rsid w:val="00EB67AA"/>
    <w:rsid w:val="00EC14EA"/>
    <w:rsid w:val="00EC5680"/>
    <w:rsid w:val="00ED5470"/>
    <w:rsid w:val="00F17864"/>
    <w:rsid w:val="00F2007A"/>
    <w:rsid w:val="00F228FD"/>
    <w:rsid w:val="00F50A38"/>
    <w:rsid w:val="00F625C0"/>
    <w:rsid w:val="00F664B2"/>
    <w:rsid w:val="00F66D34"/>
    <w:rsid w:val="00F67327"/>
    <w:rsid w:val="00F70410"/>
    <w:rsid w:val="00F87AF9"/>
    <w:rsid w:val="00F901C8"/>
    <w:rsid w:val="00F90542"/>
    <w:rsid w:val="00F95793"/>
    <w:rsid w:val="00F96B22"/>
    <w:rsid w:val="00FC0BC0"/>
    <w:rsid w:val="00FC5EB5"/>
    <w:rsid w:val="00FC6A3D"/>
    <w:rsid w:val="00FD1B93"/>
    <w:rsid w:val="00FF08E4"/>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20247"/>
  <w15:docId w15:val="{619C2B58-7D4E-4E0E-9FB6-936A951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81B"/>
    <w:pPr>
      <w:spacing w:after="0" w:line="240" w:lineRule="auto"/>
    </w:pPr>
    <w:rPr>
      <w:rFonts w:ascii="Trebuchet MS" w:eastAsia="Times New Roman" w:hAnsi="Trebuchet MS" w:cs="Times New Roman"/>
      <w:spacing w:val="2"/>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HeaderChar">
    <w:name w:val="Header Char"/>
    <w:basedOn w:val="DefaultParagraphFont"/>
    <w:link w:val="Header"/>
    <w:uiPriority w:val="99"/>
    <w:rsid w:val="0069381B"/>
  </w:style>
  <w:style w:type="paragraph" w:styleId="Footer">
    <w:name w:val="footer"/>
    <w:basedOn w:val="Normal"/>
    <w:link w:val="FooterChar"/>
    <w:uiPriority w:val="99"/>
    <w:unhideWhenUsed/>
    <w:rsid w:val="0069381B"/>
    <w:pPr>
      <w:tabs>
        <w:tab w:val="center" w:pos="4680"/>
        <w:tab w:val="right" w:pos="9360"/>
      </w:tabs>
    </w:pPr>
    <w:rPr>
      <w:rFonts w:asciiTheme="minorHAnsi" w:eastAsiaTheme="minorHAnsi" w:hAnsiTheme="minorHAnsi" w:cstheme="minorBidi"/>
      <w:spacing w:val="0"/>
      <w:sz w:val="22"/>
      <w:szCs w:val="22"/>
      <w:lang w:val="en-US"/>
    </w:rPr>
  </w:style>
  <w:style w:type="character" w:customStyle="1" w:styleId="FooterChar">
    <w:name w:val="Footer Char"/>
    <w:basedOn w:val="DefaultParagraphFont"/>
    <w:link w:val="Footer"/>
    <w:uiPriority w:val="99"/>
    <w:rsid w:val="0069381B"/>
  </w:style>
  <w:style w:type="paragraph" w:styleId="BalloonText">
    <w:name w:val="Balloon Text"/>
    <w:basedOn w:val="Normal"/>
    <w:link w:val="BalloonTextChar"/>
    <w:unhideWhenUsed/>
    <w:rsid w:val="0069381B"/>
    <w:rPr>
      <w:rFonts w:ascii="Tahoma" w:eastAsiaTheme="minorHAnsi" w:hAnsi="Tahoma" w:cs="Tahoma"/>
      <w:spacing w:val="0"/>
      <w:sz w:val="16"/>
      <w:szCs w:val="16"/>
      <w:lang w:val="en-US"/>
    </w:rPr>
  </w:style>
  <w:style w:type="character" w:customStyle="1" w:styleId="BalloonTextChar">
    <w:name w:val="Balloon Text Char"/>
    <w:basedOn w:val="DefaultParagraphFont"/>
    <w:link w:val="BalloonText"/>
    <w:rsid w:val="0069381B"/>
    <w:rPr>
      <w:rFonts w:ascii="Tahoma" w:hAnsi="Tahoma" w:cs="Tahoma"/>
      <w:sz w:val="16"/>
      <w:szCs w:val="16"/>
    </w:rPr>
  </w:style>
  <w:style w:type="character" w:styleId="Hyperlink">
    <w:name w:val="Hyperlink"/>
    <w:rsid w:val="0069381B"/>
    <w:rPr>
      <w:color w:val="0000FF"/>
      <w:u w:val="single"/>
    </w:rPr>
  </w:style>
  <w:style w:type="paragraph" w:styleId="CommentText">
    <w:name w:val="annotation text"/>
    <w:basedOn w:val="Normal"/>
    <w:link w:val="CommentTextChar"/>
    <w:uiPriority w:val="99"/>
    <w:rsid w:val="0069381B"/>
    <w:rPr>
      <w:sz w:val="20"/>
      <w:szCs w:val="20"/>
    </w:rPr>
  </w:style>
  <w:style w:type="character" w:customStyle="1" w:styleId="CommentTextChar">
    <w:name w:val="Comment Text Char"/>
    <w:basedOn w:val="DefaultParagraphFont"/>
    <w:link w:val="CommentText"/>
    <w:uiPriority w:val="99"/>
    <w:rsid w:val="0069381B"/>
    <w:rPr>
      <w:rFonts w:ascii="Trebuchet MS" w:eastAsia="Times New Roman" w:hAnsi="Trebuchet MS" w:cs="Times New Roman"/>
      <w:spacing w:val="2"/>
      <w:sz w:val="20"/>
      <w:szCs w:val="20"/>
      <w:lang w:val="en-GB"/>
    </w:rPr>
  </w:style>
  <w:style w:type="paragraph" w:styleId="EndnoteText">
    <w:name w:val="endnote text"/>
    <w:basedOn w:val="Normal"/>
    <w:link w:val="EndnoteTextChar"/>
    <w:uiPriority w:val="99"/>
    <w:semiHidden/>
    <w:unhideWhenUsed/>
    <w:rsid w:val="0069381B"/>
    <w:rPr>
      <w:sz w:val="20"/>
      <w:szCs w:val="20"/>
    </w:rPr>
  </w:style>
  <w:style w:type="character" w:customStyle="1" w:styleId="EndnoteTextChar">
    <w:name w:val="Endnote Text Char"/>
    <w:basedOn w:val="DefaultParagraphFont"/>
    <w:link w:val="EndnoteText"/>
    <w:uiPriority w:val="99"/>
    <w:semiHidden/>
    <w:rsid w:val="0069381B"/>
    <w:rPr>
      <w:rFonts w:ascii="Trebuchet MS" w:eastAsia="Times New Roman" w:hAnsi="Trebuchet MS" w:cs="Times New Roman"/>
      <w:spacing w:val="2"/>
      <w:sz w:val="20"/>
      <w:szCs w:val="20"/>
      <w:lang w:val="en-GB"/>
    </w:rPr>
  </w:style>
  <w:style w:type="character" w:styleId="EndnoteReference">
    <w:name w:val="endnote reference"/>
    <w:basedOn w:val="DefaultParagraphFont"/>
    <w:uiPriority w:val="99"/>
    <w:semiHidden/>
    <w:unhideWhenUsed/>
    <w:rsid w:val="0069381B"/>
    <w:rPr>
      <w:vertAlign w:val="superscript"/>
    </w:rPr>
  </w:style>
  <w:style w:type="paragraph" w:styleId="FootnoteText">
    <w:name w:val="footnote text"/>
    <w:basedOn w:val="Normal"/>
    <w:link w:val="FootnoteTextChar"/>
    <w:unhideWhenUsed/>
    <w:rsid w:val="0069381B"/>
    <w:rPr>
      <w:sz w:val="20"/>
      <w:szCs w:val="20"/>
    </w:rPr>
  </w:style>
  <w:style w:type="character" w:customStyle="1" w:styleId="FootnoteTextChar">
    <w:name w:val="Footnote Text Char"/>
    <w:basedOn w:val="DefaultParagraphFont"/>
    <w:link w:val="FootnoteText"/>
    <w:rsid w:val="0069381B"/>
    <w:rPr>
      <w:rFonts w:ascii="Trebuchet MS" w:eastAsia="Times New Roman" w:hAnsi="Trebuchet MS" w:cs="Times New Roman"/>
      <w:spacing w:val="2"/>
      <w:sz w:val="20"/>
      <w:szCs w:val="20"/>
      <w:lang w:val="en-GB"/>
    </w:rPr>
  </w:style>
  <w:style w:type="character" w:styleId="FootnoteReference">
    <w:name w:val="footnote reference"/>
    <w:basedOn w:val="DefaultParagraphFont"/>
    <w:unhideWhenUsed/>
    <w:rsid w:val="0069381B"/>
    <w:rPr>
      <w:vertAlign w:val="superscript"/>
    </w:rPr>
  </w:style>
  <w:style w:type="character" w:styleId="CommentReference">
    <w:name w:val="annotation reference"/>
    <w:uiPriority w:val="99"/>
    <w:rsid w:val="00176AB5"/>
    <w:rPr>
      <w:sz w:val="16"/>
      <w:szCs w:val="16"/>
    </w:rPr>
  </w:style>
  <w:style w:type="paragraph" w:styleId="CommentSubject">
    <w:name w:val="annotation subject"/>
    <w:basedOn w:val="CommentText"/>
    <w:next w:val="CommentText"/>
    <w:link w:val="CommentSubjectChar"/>
    <w:uiPriority w:val="99"/>
    <w:semiHidden/>
    <w:unhideWhenUsed/>
    <w:rsid w:val="00CA6B31"/>
    <w:rPr>
      <w:b/>
      <w:bCs/>
    </w:rPr>
  </w:style>
  <w:style w:type="character" w:customStyle="1" w:styleId="CommentSubjectChar">
    <w:name w:val="Comment Subject Char"/>
    <w:basedOn w:val="CommentTextChar"/>
    <w:link w:val="CommentSubject"/>
    <w:uiPriority w:val="99"/>
    <w:semiHidden/>
    <w:rsid w:val="00CA6B31"/>
    <w:rPr>
      <w:rFonts w:ascii="Trebuchet MS" w:eastAsia="Times New Roman" w:hAnsi="Trebuchet MS" w:cs="Times New Roman"/>
      <w:b/>
      <w:bCs/>
      <w:spacing w:val="2"/>
      <w:sz w:val="20"/>
      <w:szCs w:val="20"/>
      <w:lang w:val="en-GB"/>
    </w:rPr>
  </w:style>
  <w:style w:type="paragraph" w:styleId="ListParagraph">
    <w:name w:val="List Paragraph"/>
    <w:basedOn w:val="Normal"/>
    <w:uiPriority w:val="34"/>
    <w:qFormat/>
    <w:rsid w:val="00B4763F"/>
    <w:pPr>
      <w:ind w:left="720"/>
      <w:contextualSpacing/>
    </w:pPr>
    <w:rPr>
      <w:rFonts w:ascii="Times New Roman" w:hAnsi="Times New Roman"/>
      <w:spacing w:val="0"/>
      <w:sz w:val="24"/>
      <w:lang w:val="it-IT" w:eastAsia="it-IT"/>
    </w:rPr>
  </w:style>
  <w:style w:type="character" w:customStyle="1" w:styleId="UnresolvedMention1">
    <w:name w:val="Unresolved Mention1"/>
    <w:basedOn w:val="DefaultParagraphFont"/>
    <w:uiPriority w:val="99"/>
    <w:semiHidden/>
    <w:unhideWhenUsed/>
    <w:rsid w:val="00ED5470"/>
    <w:rPr>
      <w:color w:val="605E5C"/>
      <w:shd w:val="clear" w:color="auto" w:fill="E1DFDD"/>
    </w:rPr>
  </w:style>
  <w:style w:type="character" w:styleId="FollowedHyperlink">
    <w:name w:val="FollowedHyperlink"/>
    <w:basedOn w:val="DefaultParagraphFont"/>
    <w:uiPriority w:val="99"/>
    <w:semiHidden/>
    <w:unhideWhenUsed/>
    <w:rsid w:val="00B64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657540">
      <w:bodyDiv w:val="1"/>
      <w:marLeft w:val="0"/>
      <w:marRight w:val="0"/>
      <w:marTop w:val="0"/>
      <w:marBottom w:val="0"/>
      <w:divBdr>
        <w:top w:val="none" w:sz="0" w:space="0" w:color="auto"/>
        <w:left w:val="none" w:sz="0" w:space="0" w:color="auto"/>
        <w:bottom w:val="none" w:sz="0" w:space="0" w:color="auto"/>
        <w:right w:val="none" w:sz="0" w:space="0" w:color="auto"/>
      </w:divBdr>
      <w:divsChild>
        <w:div w:id="1019047370">
          <w:marLeft w:val="1800"/>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afe.org/" TargetMode="External"/><Relationship Id="rId13" Type="http://schemas.openxmlformats.org/officeDocument/2006/relationships/hyperlink" Target="http://eusew.eu/" TargetMode="External"/><Relationship Id="rId18" Type="http://schemas.openxmlformats.org/officeDocument/2006/relationships/hyperlink" Target="https://twitter.com/prosafe_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sed.at/en/world-sustainable-energy-days.html" TargetMode="External"/><Relationship Id="rId17" Type="http://schemas.openxmlformats.org/officeDocument/2006/relationships/hyperlink" Target="http://www.prosafe.org" TargetMode="External"/><Relationship Id="rId2" Type="http://schemas.openxmlformats.org/officeDocument/2006/relationships/numbering" Target="numbering.xml"/><Relationship Id="rId16" Type="http://schemas.openxmlformats.org/officeDocument/2006/relationships/hyperlink" Target="http://www.mstyr15.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fo@prosafe.org" TargetMode="External"/><Relationship Id="rId23" Type="http://schemas.openxmlformats.org/officeDocument/2006/relationships/theme" Target="theme/theme1.xml"/><Relationship Id="rId10" Type="http://schemas.openxmlformats.org/officeDocument/2006/relationships/hyperlink" Target="http://www.mstyr15.eu/" TargetMode="External"/><Relationship Id="rId19" Type="http://schemas.openxmlformats.org/officeDocument/2006/relationships/hyperlink" Target="https://twitter.com/mstyr15" TargetMode="External"/><Relationship Id="rId4" Type="http://schemas.openxmlformats.org/officeDocument/2006/relationships/settings" Target="settings.xml"/><Relationship Id="rId9" Type="http://schemas.openxmlformats.org/officeDocument/2006/relationships/hyperlink" Target="https://ec.europa.eu/programmes/horizon2020/" TargetMode="External"/><Relationship Id="rId14" Type="http://schemas.openxmlformats.org/officeDocument/2006/relationships/hyperlink" Target="mailto:ioana@prosaf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osafe.org" TargetMode="External"/><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 Id="rId4" Type="http://schemas.openxmlformats.org/officeDocument/2006/relationships/hyperlink" Target="http://www.prosaf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ingle-market/goods/building-blocks/icsms_en" TargetMode="External"/><Relationship Id="rId1" Type="http://schemas.openxmlformats.org/officeDocument/2006/relationships/hyperlink" Target="https://eur-lex.europa.eu/legal-content/EN/ALL/?uri=celex:32011R123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6E3D-42F0-4A27-9225-22BB1F09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4</DocSecurity>
  <Lines>52</Lines>
  <Paragraphs>14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Prosafe - Kyriakos Papazoglou</dc:creator>
  <cp:lastModifiedBy>Meynen Greet</cp:lastModifiedBy>
  <cp:revision>2</cp:revision>
  <cp:lastPrinted>2018-06-18T14:51:00Z</cp:lastPrinted>
  <dcterms:created xsi:type="dcterms:W3CDTF">2018-09-03T09:47:00Z</dcterms:created>
  <dcterms:modified xsi:type="dcterms:W3CDTF">2018-09-03T09:47:00Z</dcterms:modified>
</cp:coreProperties>
</file>