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xml:space="preserve">
  <w:body>
    <w:p w:rsidRDefault="00800D8F" w:rsidP="00800D8F">
      <w:pPr>
        <w:pStyle w:val="Heading1"/>
        <w:jc w:val="center"/>
      </w:pPr>
      <w:r>
        <w:t>GPBV-checklijst voor Polymeren</w:t>
      </w:r>
    </w:p>
    <w:p w:rsidRDefault="00031346" w:rsidP="00031346">
      <w:pPr>
        <w:jc w:val="center"/>
      </w:pPr>
      <w:r>
        <w:t>Op basis van de “BREF for Manufacture of Polymers (POL) (2007)”</w:t>
      </w:r>
    </w:p>
    <w:p w:rsidRDefault="00BC3E6C" w:rsidP="008B3835"/>
    <w:p>
      <w:pPr>
        <w:rPr/>
      </w:pPr>
      <w:r>
        <w:fldChar w:fldCharType="begin"/>
      </w:r>
      <w:r>
        <w:instrText xml:space="preserve">HYPERLINK \l "category-123468"</w:instrText>
      </w:r>
      <w:r>
        <w:fldChar w:fldCharType="separate"/>
      </w:r>
      <w:r>
        <w:rPr/>
        <w:t xml:space="preserve">Algemeen</w:t>
      </w:r>
      <w:r>
        <w:fldChar w:fldCharType="end"/>
      </w:r>
    </w:p>
    <w:p>
      <w:pPr>
        <w:rPr/>
      </w:pPr>
      <w:r>
        <w:fldChar w:fldCharType="begin"/>
      </w:r>
      <w:r>
        <w:instrText xml:space="preserve">HYPERLINK \l "category-132502"</w:instrText>
      </w:r>
      <w:r>
        <w:fldChar w:fldCharType="separate"/>
      </w:r>
      <w:r>
        <w:rPr/>
        <w:t xml:space="preserve">Productie van emulsie styreen butadieen rubber (ESBR)</w:t>
      </w:r>
      <w:r>
        <w:fldChar w:fldCharType="end"/>
      </w:r>
    </w:p>
    <w:p>
      <w:pPr>
        <w:rPr/>
      </w:pPr>
      <w:r>
        <w:fldChar w:fldCharType="begin"/>
      </w:r>
      <w:r>
        <w:instrText xml:space="preserve">HYPERLINK \l "category-132786"</w:instrText>
      </w:r>
      <w:r>
        <w:fldChar w:fldCharType="separate"/>
      </w:r>
      <w:r>
        <w:rPr/>
        <w:t xml:space="preserve">Productie van in oplossing gepolymeriseerd butadieen rubber (BR, SSBR, SBC)</w:t>
      </w:r>
      <w:r>
        <w:fldChar w:fldCharType="end"/>
      </w:r>
    </w:p>
    <w:p>
      <w:pPr>
        <w:rPr/>
      </w:pPr>
      <w:r>
        <w:fldChar w:fldCharType="begin"/>
      </w:r>
      <w:r>
        <w:instrText xml:space="preserve">HYPERLINK \l "category-132804"</w:instrText>
      </w:r>
      <w:r>
        <w:fldChar w:fldCharType="separate"/>
      </w:r>
      <w:r>
        <w:rPr/>
        <w:t xml:space="preserve">Productie van onverzadigd polyester (UP)</w:t>
      </w:r>
      <w:r>
        <w:fldChar w:fldCharType="end"/>
      </w:r>
    </w:p>
    <w:p>
      <w:pPr>
        <w:rPr/>
      </w:pPr>
      <w:r>
        <w:fldChar w:fldCharType="begin"/>
      </w:r>
      <w:r>
        <w:instrText xml:space="preserve">HYPERLINK \l "category-133004"</w:instrText>
      </w:r>
      <w:r>
        <w:fldChar w:fldCharType="separate"/>
      </w:r>
      <w:r>
        <w:rPr/>
        <w:t xml:space="preserve">Productie van polyamide (PA)</w:t>
      </w:r>
      <w:r>
        <w:fldChar w:fldCharType="end"/>
      </w:r>
    </w:p>
    <w:p>
      <w:pPr>
        <w:rPr/>
      </w:pPr>
      <w:r>
        <w:fldChar w:fldCharType="begin"/>
      </w:r>
      <w:r>
        <w:instrText xml:space="preserve">HYPERLINK \l "category-133010"</w:instrText>
      </w:r>
      <w:r>
        <w:fldChar w:fldCharType="separate"/>
      </w:r>
      <w:r>
        <w:rPr/>
        <w:t xml:space="preserve">Productie van polyethyleen tereftalaat (PET)</w:t>
      </w:r>
      <w:r>
        <w:fldChar w:fldCharType="end"/>
      </w:r>
    </w:p>
    <w:p>
      <w:pPr>
        <w:rPr/>
      </w:pPr>
      <w:r>
        <w:fldChar w:fldCharType="begin"/>
      </w:r>
      <w:r>
        <w:instrText xml:space="preserve">HYPERLINK \l "category-133020"</w:instrText>
      </w:r>
      <w:r>
        <w:fldChar w:fldCharType="separate"/>
      </w:r>
      <w:r>
        <w:rPr/>
        <w:t xml:space="preserve">Productie van polyolefinen (PE, PP)</w:t>
      </w:r>
      <w:r>
        <w:fldChar w:fldCharType="end"/>
      </w:r>
    </w:p>
    <w:p>
      <w:pPr>
        <w:rPr/>
      </w:pPr>
      <w:r>
        <w:fldChar w:fldCharType="begin"/>
      </w:r>
      <w:r>
        <w:instrText xml:space="preserve">HYPERLINK \l "category-133052"</w:instrText>
      </w:r>
      <w:r>
        <w:fldChar w:fldCharType="separate"/>
      </w:r>
      <w:r>
        <w:rPr/>
        <w:t xml:space="preserve">Productie van polyolefinen (PE, PP) - HDPE, LLDPE, PP</w:t>
      </w:r>
      <w:r>
        <w:fldChar w:fldCharType="end"/>
      </w:r>
    </w:p>
    <w:p>
      <w:pPr>
        <w:rPr/>
      </w:pPr>
      <w:r>
        <w:fldChar w:fldCharType="begin"/>
      </w:r>
      <w:r>
        <w:instrText xml:space="preserve">HYPERLINK \l "category-133056"</w:instrText>
      </w:r>
      <w:r>
        <w:fldChar w:fldCharType="separate"/>
      </w:r>
      <w:r>
        <w:rPr/>
        <w:t xml:space="preserve">Productie van polyolefinen (PE, PP) - LDPE</w:t>
      </w:r>
      <w:r>
        <w:fldChar w:fldCharType="end"/>
      </w:r>
    </w:p>
    <w:p>
      <w:pPr>
        <w:rPr/>
      </w:pPr>
      <w:r>
        <w:fldChar w:fldCharType="begin"/>
      </w:r>
      <w:r>
        <w:instrText xml:space="preserve">HYPERLINK \l "category-133064"</w:instrText>
      </w:r>
      <w:r>
        <w:fldChar w:fldCharType="separate"/>
      </w:r>
      <w:r>
        <w:rPr/>
        <w:t xml:space="preserve">Productie van polyolefinen (PE, PP) - LLDPE</w:t>
      </w:r>
      <w:r>
        <w:fldChar w:fldCharType="end"/>
      </w:r>
    </w:p>
    <w:p>
      <w:pPr>
        <w:rPr/>
      </w:pPr>
      <w:r>
        <w:fldChar w:fldCharType="begin"/>
      </w:r>
      <w:r>
        <w:instrText xml:space="preserve">HYPERLINK \l "category-133098"</w:instrText>
      </w:r>
      <w:r>
        <w:fldChar w:fldCharType="separate"/>
      </w:r>
      <w:r>
        <w:rPr/>
        <w:t xml:space="preserve">Productie van polystyreen (PS)</w:t>
      </w:r>
      <w:r>
        <w:fldChar w:fldCharType="end"/>
      </w:r>
    </w:p>
    <w:p>
      <w:pPr>
        <w:rPr/>
      </w:pPr>
      <w:r>
        <w:fldChar w:fldCharType="begin"/>
      </w:r>
      <w:r>
        <w:instrText xml:space="preserve">HYPERLINK \l "category-133198"</w:instrText>
      </w:r>
      <w:r>
        <w:fldChar w:fldCharType="separate"/>
      </w:r>
      <w:r>
        <w:rPr/>
        <w:t xml:space="preserve">Productie van polyvinylchloride (PVC)</w:t>
      </w:r>
      <w:r>
        <w:fldChar w:fldCharType="end"/>
      </w:r>
    </w:p>
    <w:p>
      <w:pPr>
        <w:rPr/>
      </w:pPr>
      <w:r>
        <w:fldChar w:fldCharType="begin"/>
      </w:r>
      <w:r>
        <w:instrText xml:space="preserve">HYPERLINK \l "category-133242"</w:instrText>
      </w:r>
      <w:r>
        <w:fldChar w:fldCharType="separate"/>
      </w:r>
      <w:r>
        <w:rPr/>
        <w:t xml:space="preserve">Productie van viscose(vezels)</w:t>
      </w:r>
      <w:r>
        <w:fldChar w:fldCharType="end"/>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 van de polymeerplant (o.a. solventen, oliën, wassen en afval van polymeren, ...) opnieuw gebruiken</w:t>
            </w:r>
          </w:p>
          <w:bookmarkStart w:id="1561442" w:name="category-123468"/>
          <w:bookmarkEnd w:id="1561442"/>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12.1.15, 13.1.15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Afhankelijk van het type afval dat er geproduceerd wordt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Behandelen van de afgassen (luchtstromen) afkomstig van de ontgassingssilo's en het aflaten van de reactoren door middel van één of méér technieken.</w:t>
            </w:r>
          </w:p>
          <w:p>
            <w:pPr>
              <w:widowControl w:val="on"/>
              <w:pBdr/>
              <w:spacing w:before="160" w:after="160" w:line="240" w:lineRule="auto"/>
              <w:ind w:left="0" w:right="0"/>
              <w:jc w:val="left"/>
            </w:pPr>
            <w:r>
              <w:rPr>
                <w:color w:val="000000"/>
                <w:sz w:val="16"/>
                <w:szCs w:val="16"/>
              </w:rPr>
              <w:t xml:space="preserve">Behandelen van de afgassen (luchtstromen) afkomstig van de ontgassingssilo's en het aflaten van de reactoren door middel van één of méér van de volgende technieken :</w:t>
            </w:r>
            <w:r>
              <w:rPr>
                <w:color w:val="000000"/>
                <w:sz w:val="16"/>
                <w:szCs w:val="16"/>
              </w:rPr>
              <w:br/>
              <w:br/>
              <w:t xml:space="preserve">- recyclage (hercirculatie)</w:t>
            </w:r>
            <w:r>
              <w:rPr>
                <w:color w:val="000000"/>
                <w:sz w:val="16"/>
                <w:szCs w:val="16"/>
              </w:rPr>
              <w:br/>
              <w:t xml:space="preserve">- thermische oxidatie (naverbranding)</w:t>
            </w:r>
            <w:r>
              <w:rPr>
                <w:color w:val="000000"/>
                <w:sz w:val="16"/>
                <w:szCs w:val="16"/>
              </w:rPr>
              <w:br/>
              <w:t xml:space="preserve">- katalytische oxidatie (naverbranding)</w:t>
            </w:r>
            <w:r>
              <w:rPr>
                <w:color w:val="000000"/>
                <w:sz w:val="16"/>
                <w:szCs w:val="16"/>
              </w:rPr>
              <w:br/>
              <w:t xml:space="preserve">- affakkelen (enkel voor discontinue stromen (emissies))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12.1.9, 13.1.11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 behalve bij aanwezigheid van gechloreerde componenten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In bepaalde gevallen kan het gebruik van adsorptietechnieken ook als BBT worden beschouwd.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Bepalen en meten van de fugitieve emissies met het oog op een classificatie van de verschillende componenten (in termen van type, onderhoud en procescondities) en een identificatie van de componenten met het hoogste potentieel voor fugitieve emissies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12.1.3, 13.1.3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pPr>
        <w:pageBreakBefore/>
      </w:pPr>
      <w:r/>
    </w:p>
    <w:p>
      <w:r>
        <w:pict>
          <v:rect id="_x0000_i1026" style="width:0;height:1.5pt" o:hralign="center" o:hrstd="t" o:hr="t" fillcolor="#aca899" stroked="f"/>
        </w:pict>
      </w:r>
    </w:p>
    <w:p>
      <w:pPr>
        <w:widowControl w:val="on"/>
        <w:pBdr/>
        <w:spacing w:before="160" w:after="160" w:line="240" w:lineRule="auto"/>
        <w:ind w:left="0" w:right="0"/>
        <w:jc w:val="left"/>
      </w:pPr>
      <w:r>
        <w:rPr>
          <w:color w:val="000000"/>
          <w:sz w:val="16"/>
          <w:szCs w:val="16"/>
        </w:rPr>
        <w:t xml:space="preserve">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reactorinhoud (uit het "containment systeem") recycleren of gebruiken als brandstof</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13.1.8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 behalve voor hoge druk PE installatie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Doeltreffend behandelen van het afvalwater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12.1.18, 13.1.18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 waarbij er afvalwater geproduceerd wordt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Gebruiken van een bufferbekken vóór de afvalwaterzuiveringsinstallatie om alzo een constante kwaliteit van het afvalwater te bekomen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12.1.17, 13.1.17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 waarbij er afvalwater geproduceerd wordt, o.a. installaties voor de productie van PVC en ESBR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Gebruiken van een fakkel om de discontinue stromen (emissies) van de reactoren te behandelen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12.1.10, 13.1.12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Enkel wanneer deze stromen (emissies) niet gerecycleerd (gehercirculeerd) kunnen worden binnen het proces en wanneer deze stromen (emissies) niet als brandstof kunnen worden aangewendVoor alle installaties behalve voor hoge druk PE installatie en PVC installatie (gechloreerde afgassen)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Gebruiken van een gescheiden systeem voor de collectie van:- vervuild proceswater- mogelijks vervuild water afkomstig van lekkages en ander bronnen, inclusief koelwater en afstromend regenwater- niet-vervuild water</w:t>
            </w:r>
          </w:p>
          <w:p>
            <w:pPr>
              <w:widowControl w:val="on"/>
              <w:pBdr/>
              <w:spacing w:before="160" w:after="160" w:line="240" w:lineRule="auto"/>
              <w:ind w:left="0" w:right="0"/>
              <w:jc w:val="left"/>
            </w:pPr>
            <w:r>
              <w:rPr>
                <w:color w:val="000000"/>
                <w:sz w:val="16"/>
                <w:szCs w:val="16"/>
              </w:rPr>
              <w:t xml:space="preserve">Gebruiken van een gescheiden systeem voor de collectie van :</w:t>
            </w:r>
            <w:r>
              <w:rPr>
                <w:color w:val="000000"/>
                <w:sz w:val="16"/>
                <w:szCs w:val="16"/>
              </w:rPr>
              <w:br/>
              <w:br/>
              <w:t xml:space="preserve">- vervuild proceswater</w:t>
            </w:r>
            <w:r>
              <w:rPr>
                <w:color w:val="000000"/>
                <w:sz w:val="16"/>
                <w:szCs w:val="16"/>
              </w:rPr>
              <w:br/>
              <w:t xml:space="preserve">- mogelijks vervuild water afkomstig van lekkages en ander bronnen, inclusief koelwater en afstromend regenwater</w:t>
            </w:r>
            <w:r>
              <w:rPr>
                <w:color w:val="000000"/>
                <w:sz w:val="16"/>
                <w:szCs w:val="16"/>
              </w:rPr>
              <w:br/>
              <w:t xml:space="preserve">- niet-vervuild water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12.1.8, 13.1.10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installaties en bij het vernieuwen van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Gebruiken van een pigging systeem (d.i. een transport- en reinigingssysteem)</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12.1.16, 13.1.16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multiproduct plants met vloeibare grondstoffen en producten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Gebruiken van energie (elektriciteit) en stoom afkomstig van een cogeneratieplant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12.1.11, 13.1.13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Indien mogelijk (zie opmerking)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Een cogeneratieplant wordt normaliter geïnstalleerd wanneer de plant de geproduceerde stoom gebruikt of wanneer er een afzetgebied is voor de geproduceerde stoom.  De geproduceerde elektriciteit kan gebruikt worden door de plant of kan geëxporteerd worden.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 veiligheid brengen van de inhoud van de reactor in geval van een noodstop (o.a. door het gebruik van een "containment systeem")</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12.1.7, 13.1.7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 behalve voor hoge druk PE installatie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Instellen en onderhouden van een controle- en onderhoudsprogramma (M&amp;M) en / of een lekdetectie- en -herstelprogramma (LDAR) gebaseerd op een database.</w:t>
            </w:r>
          </w:p>
          <w:p>
            <w:pPr>
              <w:widowControl w:val="on"/>
              <w:pBdr/>
              <w:spacing w:before="160" w:after="160" w:line="240" w:lineRule="auto"/>
              <w:ind w:left="0" w:right="0"/>
              <w:jc w:val="left"/>
            </w:pPr>
            <w:r>
              <w:rPr>
                <w:color w:val="000000"/>
                <w:sz w:val="16"/>
                <w:szCs w:val="16"/>
              </w:rPr>
              <w:t xml:space="preserve">Instellen en onderhouden van een controle- en onderhoudsprogramma (M&amp;M) en / of een lekdetectie- en herstelprogramma (LDAR) gebaseerd op een database met daarin gegevens (o.a. met betrekking tot onderhoud) over de verschillende componenten en op de bepaling en de meting van de fugitieve emissies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12.1.3 , 13.1.4, 12.1.4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Recupereren van de reactiewarmte door de generatie van lage druk stoom</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12.1.12, 13.1.14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plants waar er interne of externe verbruikers (klanten) van deze lage druk stoom aanwezig zijn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Reduceren van aantal "start-ups" and "stops" om piekmissie te vermijden en de totale consumptie (o.a. van energie, monomeer per ton product) te reduceren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12.1.6, 13.1.6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Reduceren van de fugitieve emissies door een geavanceerd ontwerp van de installaties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12.1.2, 13.1.2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Reduceren van de stofemissies met een combinatie van verschillende technieken.</w:t>
            </w:r>
          </w:p>
          <w:p>
            <w:pPr>
              <w:widowControl w:val="on"/>
              <w:pBdr/>
              <w:spacing w:before="160" w:after="160" w:line="240" w:lineRule="auto"/>
              <w:ind w:left="0" w:right="0"/>
              <w:jc w:val="left"/>
            </w:pPr>
            <w:r>
              <w:rPr>
                <w:color w:val="000000"/>
                <w:sz w:val="16"/>
                <w:szCs w:val="16"/>
              </w:rPr>
              <w:t xml:space="preserve">Reduceren van de stofemissies met een combinatie van volgende technieken :</w:t>
            </w:r>
            <w:r>
              <w:rPr>
                <w:color w:val="000000"/>
                <w:sz w:val="16"/>
                <w:szCs w:val="16"/>
              </w:rPr>
              <w:br/>
              <w:br/>
              <w:t xml:space="preserve">- transporteren in dichte fase</w:t>
            </w:r>
            <w:r>
              <w:rPr>
                <w:color w:val="000000"/>
                <w:sz w:val="16"/>
                <w:szCs w:val="16"/>
              </w:rPr>
              <w:br/>
              <w:t xml:space="preserve">- reduceren van de snelheden in de systemen voor dunne fase transport</w:t>
            </w:r>
            <w:r>
              <w:rPr>
                <w:color w:val="000000"/>
                <w:sz w:val="16"/>
                <w:szCs w:val="16"/>
              </w:rPr>
              <w:br/>
              <w:t xml:space="preserve">- behandelen van de oppervlakte en het uitlijnen van de pijpleidingen</w:t>
            </w:r>
            <w:r>
              <w:rPr>
                <w:color w:val="000000"/>
                <w:sz w:val="16"/>
                <w:szCs w:val="16"/>
              </w:rPr>
              <w:br/>
              <w:t xml:space="preserve">- gebruiken van cyclonen en filters (gebruik van doekfilters is meer kosteneffectief, zeker voor het reduceren van de emissie van fijn stof)</w:t>
            </w:r>
            <w:r>
              <w:rPr>
                <w:color w:val="000000"/>
                <w:sz w:val="16"/>
                <w:szCs w:val="16"/>
              </w:rPr>
              <w:br/>
              <w:t xml:space="preserve">- gebruiken van stofwassers (scrubber) als onstoffingsinstallatie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12.1.5, 13.1.5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Verhinderen van de verontreiniging van het water door een aangepast ontwerp van en het gebruik van aangepaste materialen voor de pijpleidingen (het buizennet).</w:t>
            </w:r>
          </w:p>
          <w:p>
            <w:pPr>
              <w:widowControl w:val="on"/>
              <w:pBdr/>
              <w:spacing w:before="160" w:after="160" w:line="240" w:lineRule="auto"/>
              <w:ind w:left="0" w:right="0"/>
              <w:jc w:val="left"/>
            </w:pPr>
            <w:r>
              <w:rPr>
                <w:color w:val="000000"/>
                <w:sz w:val="16"/>
                <w:szCs w:val="16"/>
              </w:rPr>
              <w:t xml:space="preserve">Verhinderen van de verontreiniging van het water door een aangepast ontwerp van en het gebruik van aangepaste materialen voor de pijpleidingen (het buizennet).</w:t>
            </w:r>
            <w:r>
              <w:rPr>
                <w:color w:val="000000"/>
                <w:sz w:val="16"/>
                <w:szCs w:val="16"/>
              </w:rPr>
              <w:br/>
              <w:br/>
              <w:t xml:space="preserve">Het inspecteren en het repareren van een systeem voor de collectie van water (proceswater, drainagewater, afvalwater) kan vergemakkelijkt worden door:</w:t>
            </w:r>
            <w:r>
              <w:rPr>
                <w:color w:val="000000"/>
                <w:sz w:val="16"/>
                <w:szCs w:val="16"/>
              </w:rPr>
              <w:br/>
              <w:br/>
              <w:t xml:space="preserve">- leidingen en pompen bovengronds te plaatsen</w:t>
            </w:r>
            <w:r>
              <w:rPr>
                <w:color w:val="000000"/>
                <w:sz w:val="16"/>
                <w:szCs w:val="16"/>
              </w:rPr>
              <w:br/>
              <w:t xml:space="preserve">- leidingen in een goot, toegankelijk voor inspectie en reparatie, te plaatsen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12.1.8, 13.1.9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installaties en bij het vernieuwen van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emulsie styreen butadieen rubber (ESBR)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VOS naar de lucht</w:t>
            </w:r>
          </w:p>
          <w:bookmarkStart w:id="52680821" w:name="category-132502"/>
          <w:bookmarkEnd w:id="52680821"/>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13.6.8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 170 - 370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emulsie styreen butadieen rubber (ESBR)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Behandelen van afvalwater door middel van biologische afvalwaterzuivering of een equivalente techniek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12.6, 13.6.5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emulsie styreen butadieen rubber (ESBR)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Collecteren van de afgassen van procesuitrusting voor nabehandeling (veelal verbranding)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12.6, 13.6.3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emulsie styreen butadieen rubber (ESBR)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Controleren en minimaliseren van de diffuse (fugitieve) emissies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12.6, 13.6.2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emulsie styreen butadieen rubber (ESBR)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Minimaliseren van de hoeveelheid gevaarlijk afval door afvalstoffen zoveel mogelijk te scheidenCollecteren van gevaarlijk afval en afvoer naar een extern verwerker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12.6, 13.6.6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emulsie styreen butadieen rubber (ESBR)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Minimaliseren van de hoeveelheid niet gevaarlijk afval door goed beheer en door off-site recyclage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12.6, 13.6.7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emulsie styreen butadieen rubber (ESBR)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Opslagtanks zodanig ontwerpen en onderhouden dat er geen lekkages naar bodem, lucht en water kunnen optreden.</w:t>
            </w:r>
          </w:p>
          <w:p>
            <w:pPr>
              <w:widowControl w:val="on"/>
              <w:pBdr/>
              <w:spacing w:before="160" w:after="160" w:line="240" w:lineRule="auto"/>
              <w:ind w:left="0" w:right="0"/>
              <w:jc w:val="left"/>
            </w:pPr>
            <w:r>
              <w:rPr>
                <w:color w:val="000000"/>
                <w:sz w:val="16"/>
                <w:szCs w:val="16"/>
              </w:rPr>
              <w:t xml:space="preserve">Opslagtanks zodanig ontwerpen en onderhouden dat er geen lekkages naar bodem, lucht en water kunnen optreden</w:t>
            </w:r>
            <w:r>
              <w:rPr>
                <w:color w:val="000000"/>
                <w:sz w:val="16"/>
                <w:szCs w:val="16"/>
              </w:rPr>
              <w:br/>
              <w:br/>
              <w:t xml:space="preserve">- Butadieen opslaan onder diens dampdruk in een tank, gecoat met een vuurvast materiaal</w:t>
            </w:r>
            <w:r>
              <w:rPr>
                <w:color w:val="000000"/>
                <w:sz w:val="16"/>
                <w:szCs w:val="16"/>
              </w:rPr>
              <w:br/>
              <w:t xml:space="preserve">- Styreen opslaan onder koude condities door middel van een externe warmtewisselaar</w:t>
            </w:r>
            <w:r>
              <w:rPr>
                <w:color w:val="000000"/>
                <w:sz w:val="16"/>
                <w:szCs w:val="16"/>
              </w:rPr>
              <w:br/>
              <w:t xml:space="preserve">- Het gebruik van één of meer van volgende of equivalente technieken :</w:t>
            </w:r>
            <w:r>
              <w:rPr>
                <w:color w:val="000000"/>
                <w:sz w:val="16"/>
                <w:szCs w:val="16"/>
              </w:rPr>
              <w:br/>
              <w:t xml:space="preserve">- Minimalisering van niveauverandering (enkel voor geïntegreerde plants)</w:t>
            </w:r>
            <w:r>
              <w:rPr>
                <w:color w:val="000000"/>
                <w:sz w:val="16"/>
                <w:szCs w:val="16"/>
              </w:rPr>
              <w:br/>
              <w:t xml:space="preserve">- Gasbalanssysteem (enkel voor nabijgelegen tanks)</w:t>
            </w:r>
            <w:r>
              <w:rPr>
                <w:color w:val="000000"/>
                <w:sz w:val="16"/>
                <w:szCs w:val="16"/>
              </w:rPr>
              <w:br/>
              <w:t xml:space="preserve">- Vlottend dak (enkel voor grote opslagtanks)</w:t>
            </w:r>
            <w:r>
              <w:rPr>
                <w:color w:val="000000"/>
                <w:sz w:val="16"/>
                <w:szCs w:val="16"/>
              </w:rPr>
              <w:br/>
              <w:t xml:space="preserve">- Condensors</w:t>
            </w:r>
            <w:r>
              <w:rPr>
                <w:color w:val="000000"/>
                <w:sz w:val="16"/>
                <w:szCs w:val="16"/>
              </w:rPr>
              <w:br/>
              <w:t xml:space="preserve">- Verbeterd styreen strippen</w:t>
            </w:r>
            <w:r>
              <w:rPr>
                <w:color w:val="000000"/>
                <w:sz w:val="16"/>
                <w:szCs w:val="16"/>
              </w:rPr>
              <w:br/>
              <w:t xml:space="preserve">- Recuperatie en nabehandeling (veelal verbranding) van de afgassen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12.6, 13.6.1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emulsie styreen butadieen rubber (ESBR)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Recycleren van 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12.6, 13.6.4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in oplossing gepolymeriseerd butadieen rubber (BR, SSBR, SBC)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Verwijderen van de solventen door verschillende technieken</w:t>
            </w:r>
          </w:p>
          <w:bookmarkStart w:id="89465660" w:name="category-132786"/>
          <w:bookmarkEnd w:id="89465660"/>
          <w:p>
            <w:pPr>
              <w:widowControl w:val="on"/>
              <w:pBdr/>
              <w:spacing w:before="160" w:after="160" w:line="240" w:lineRule="auto"/>
              <w:ind w:left="0" w:right="0"/>
              <w:jc w:val="left"/>
            </w:pPr>
            <w:r>
              <w:rPr>
                <w:color w:val="000000"/>
                <w:sz w:val="16"/>
                <w:szCs w:val="16"/>
              </w:rPr>
              <w:t xml:space="preserve">Verwijderen van de solventen door één van volgende / beide technieken :</w:t>
            </w:r>
            <w:r>
              <w:rPr>
                <w:color w:val="000000"/>
                <w:sz w:val="16"/>
                <w:szCs w:val="16"/>
              </w:rPr>
              <w:br/>
              <w:t xml:space="preserve">- ontgassing tijdens de extrusie</w:t>
            </w:r>
            <w:r>
              <w:rPr>
                <w:color w:val="000000"/>
                <w:sz w:val="16"/>
                <w:szCs w:val="16"/>
              </w:rPr>
              <w:br/>
              <w:t xml:space="preserve">- stoomstripping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onverzadigd polyester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CO naar de lucht</w:t>
            </w:r>
          </w:p>
          <w:bookmarkStart w:id="81454229" w:name="category-132804"/>
          <w:bookmarkEnd w:id="81454229"/>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 50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onverzadigd polyester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CO2 naar de lucht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 50 - 150 kg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onverzadigd polyester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NOx   naar de lucht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 6 - 100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onverzadigd polyester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SO2   naar de lucht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 0 - 100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onverzadigd polyester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stof naar de lucht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 5 - 30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onverzadigd polyester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VOS naar de lucht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 40 - 100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onverzadigd polyester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gevaarlijk afval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 0,2 - 2,0 kg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onverzadigd polyester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directe energie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 2 - 3,50 GJ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onverzadigd polyester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 1 - 5 m³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onverzadigd polyester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Behandelen van de afgassen door middel van verschillende technieken.</w:t>
            </w:r>
          </w:p>
          <w:p>
            <w:pPr>
              <w:widowControl w:val="on"/>
              <w:pBdr/>
              <w:spacing w:before="160" w:after="160" w:line="240" w:lineRule="auto"/>
              <w:ind w:left="0" w:right="0"/>
              <w:jc w:val="left"/>
            </w:pPr>
            <w:r>
              <w:rPr>
                <w:color w:val="000000"/>
                <w:sz w:val="16"/>
                <w:szCs w:val="16"/>
              </w:rPr>
              <w:t xml:space="preserve">Behandelen van de afgassen door middel van één of méér van de volgende technieken :</w:t>
            </w:r>
            <w:r>
              <w:rPr>
                <w:color w:val="000000"/>
                <w:sz w:val="16"/>
                <w:szCs w:val="16"/>
              </w:rPr>
              <w:br/>
              <w:br/>
              <w:t xml:space="preserve">- thermische oxidatie (naverbranding)</w:t>
            </w:r>
            <w:r>
              <w:rPr>
                <w:color w:val="000000"/>
                <w:sz w:val="16"/>
                <w:szCs w:val="16"/>
              </w:rPr>
              <w:br/>
              <w:t xml:space="preserve">- actief kool adsorptie</w:t>
            </w:r>
            <w:r>
              <w:rPr>
                <w:color w:val="000000"/>
                <w:sz w:val="16"/>
                <w:szCs w:val="16"/>
              </w:rPr>
              <w:br/>
              <w:t xml:space="preserve">- glycol gaswasser</w:t>
            </w:r>
            <w:r>
              <w:rPr>
                <w:color w:val="000000"/>
                <w:sz w:val="16"/>
                <w:szCs w:val="16"/>
              </w:rPr>
              <w:br/>
              <w:t xml:space="preserve">- sublimatie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12.5.1, 13.5.1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onverzadigd polyester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Thermisch behandelen van het afvalwater, afkomstig van de reactie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12.5.2, 13.5.2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polyamide (PA)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Behandelen van de afgassen (rookgassen) afkomstig van de productie van polyamide door natte gaswassing</w:t>
            </w:r>
          </w:p>
          <w:bookmarkStart w:id="15154325" w:name="category-133004"/>
          <w:bookmarkEnd w:id="15154325"/>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13.8.1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polyethyleen tereftalaat (PET)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Behandelen van de afgassen afkomstig van de productie door katalytische oxidatie (naverbranding) of door een equivalente techniek</w:t>
            </w:r>
          </w:p>
          <w:bookmarkStart w:id="86119342" w:name="category-133010"/>
          <w:bookmarkEnd w:id="86119342"/>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13.9.2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polyethyleen tereftalaat (PET)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Voorbehandelen van het afvalwater (o.a. door strippen, recycleren of een equivalent daarvan) alvorens het afvalwater naar een afvalwaterzuiveringsinstallatie te sturen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13.9.1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polyolefinen (PE, 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CZV (water)</w:t>
            </w:r>
          </w:p>
          <w:bookmarkStart w:id="49426748" w:name="category-133020"/>
          <w:bookmarkEnd w:id="49426748"/>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13.2.6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:LDPE  : 19 - 30 g / ton productHDPE  : 17 g / ton productLLDPE  : 39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polyolefinen (PE, 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stof naar de lucht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13.2.6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:LDPE  : 17 g / ton productLDPE co-polymeren :stof : 20 g / ton productHDPE  : 56 g / ton productLLDPE  : 11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polyolefinen (PE, 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VOS naar de lucht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13.2.6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LDPE  : 700 - 1.100 g / ton product (nieuwe installaties), 1.100 - 2.100 g / ton product (bestaande installaties)LDPE co-polymeren  : 2.000 g / ton productHDPE : 300 - 500 g / ton product (nieuwe installaties), 500 - 1.800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polyolefinen (PE, 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gevaarlijk afval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13.2.6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:LDPE : 1,8 - 3,0 kg / ton productLDPE co-polymeren  :5,0 kg / ton productHDPE  : 3,1 kg / ton productLLDPE : 0,8 kg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polyolefinen (PE, 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inert afval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13.2.6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:LDPE: 0,5 kg / ton productLDPE co-polymeren :1,3 kg / ton productHDPE  : 0,5 kg / ton productLLDPE : 1,1 kg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polyolefinen (PE, 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directe energie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13.2.6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:LDPE  : 2,88 - 3,24 GJ / ton product (buisreactor), 3,24 - 3,60 GJ / ton product (autoclaaf)LDPE co-polymeren :4,50 GJ / ton productHDPE  : 2,05 GJ / ton product (nieuwe installaties), 2,05 - 2,52 GJ / ton product (bestaande installaties)LLDPE  : 2,08 GJ / ton product (nieuwe installaties), 2,08 - 2,45 GJ / ton product (bestaande installaties)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polyolefinen (PE, 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monomeer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13.2.6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:LDPE : 1.006 kg / ton productLDPE co-polymeren  :1.020 kg / ton productHDPE  : 1.008 kg / ton productLLDPE : 1.015 kg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polyolefinen (PE, 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primaire energie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13.2.6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:LDPE: 7,2 - 8,1 GJ / ton product (buisreactor), 8,1 - 9,0 GJ / ton product (autoclaaf)LDPE co-polymeren  :10,8 GJ / ton productHDPE : 4,25 GJ / ton product (nieuwe installaties), 4,25 - 5,36 GJ / ton product (bestaande installaties)LLDPE : 2,92 GJ / ton product (nieuwe installaties), 2,92 - 4,14 GJ / ton product (bestaande installaties)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polyolefinen (PE, 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13.2.6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:LDPE  : 1,7 m³ / ton productLDPE co-polymeren  :2,8 m³ / ton productHDPE  : 1,9 m³ / ton productLLDPE  : 1,1 m³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polyolefinen (PE, 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reactor laten werken bij een zo hoog mogelijke concentratie aan polymeer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12.2.4, 13.2.4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polyolefinen (PE, 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Gebruiken van een gesloten (kringloop) koelsysteem</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12.2.6, 13.2.5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polyolefinen (PE, 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Reduceren van de emissies ter hoogte van de eindafwerkingssectie en de opslagsectie.</w:t>
            </w:r>
          </w:p>
          <w:p>
            <w:pPr>
              <w:widowControl w:val="on"/>
              <w:pBdr/>
              <w:spacing w:before="160" w:after="160" w:line="240" w:lineRule="auto"/>
              <w:ind w:left="0" w:right="0"/>
              <w:jc w:val="left"/>
            </w:pPr>
            <w:r>
              <w:rPr>
                <w:color w:val="000000"/>
                <w:sz w:val="16"/>
                <w:szCs w:val="16"/>
              </w:rPr>
              <w:t xml:space="preserve">Reduceren van de emissies ter hoogte van de eindafwerkingssectie en de opslagsectie door :</w:t>
            </w:r>
            <w:r>
              <w:rPr>
                <w:color w:val="000000"/>
                <w:sz w:val="16"/>
                <w:szCs w:val="16"/>
              </w:rPr>
              <w:br/>
              <w:br/>
              <w:t xml:space="preserve">- Met stikstof te purgeren in een gesloten kringloop en</w:t>
            </w:r>
            <w:r>
              <w:rPr>
                <w:color w:val="000000"/>
                <w:sz w:val="16"/>
                <w:szCs w:val="16"/>
              </w:rPr>
              <w:br/>
              <w:t xml:space="preserve">- Het strippen te optimaliseren en</w:t>
            </w:r>
            <w:r>
              <w:rPr>
                <w:color w:val="000000"/>
                <w:sz w:val="16"/>
                <w:szCs w:val="16"/>
              </w:rPr>
              <w:br/>
              <w:t xml:space="preserve">- De monomeren afkomstig van het strippen te recycleren (hercirculeren) en</w:t>
            </w:r>
            <w:r>
              <w:rPr>
                <w:color w:val="000000"/>
                <w:sz w:val="16"/>
                <w:szCs w:val="16"/>
              </w:rPr>
              <w:br/>
              <w:t xml:space="preserve">- Het solvent te condenseren en</w:t>
            </w:r>
            <w:r>
              <w:rPr>
                <w:color w:val="000000"/>
                <w:sz w:val="16"/>
                <w:szCs w:val="16"/>
              </w:rPr>
              <w:br/>
              <w:t xml:space="preserve">- De keuze van het solvent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12.2.3.1, 12.2.3.2, 12.2.3.3, 12.2.3.4, 13.2.3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lage druk suspensie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polyolefinen (PE, PP) - HDPE, LLDPE, 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Reduceren van de emissies ter hoogte van de eindafwerkingssectie en de opslagsectie.</w:t>
            </w:r>
          </w:p>
          <w:bookmarkStart w:id="84127835" w:name="category-133052"/>
          <w:bookmarkEnd w:id="84127835"/>
          <w:p>
            <w:pPr>
              <w:widowControl w:val="on"/>
              <w:pBdr/>
              <w:spacing w:before="160" w:after="160" w:line="240" w:lineRule="auto"/>
              <w:ind w:left="0" w:right="0"/>
              <w:jc w:val="left"/>
            </w:pPr>
            <w:r>
              <w:rPr>
                <w:color w:val="000000"/>
                <w:sz w:val="16"/>
                <w:szCs w:val="16"/>
              </w:rPr>
              <w:t xml:space="preserve">Reduceren van de emissies ter hoogte van de eindafwerkingssectie en de opslagsectie door :</w:t>
            </w:r>
            <w:r>
              <w:rPr>
                <w:color w:val="000000"/>
                <w:sz w:val="16"/>
                <w:szCs w:val="16"/>
              </w:rPr>
              <w:br/>
              <w:br/>
              <w:t xml:space="preserve">- Met stikstof te purgeren in een gesloten kringloop en</w:t>
            </w:r>
            <w:r>
              <w:rPr>
                <w:color w:val="000000"/>
                <w:sz w:val="16"/>
                <w:szCs w:val="16"/>
              </w:rPr>
              <w:br/>
              <w:t xml:space="preserve">- De keuze van het solvent en het co-monomeer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12.2.3.1, 12.2.3.4, 13.2.3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gasfase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polyolefinen (PE, PP) - LDPE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Collecteren van de afgassen afkomstig van de extruder</w:t>
            </w:r>
          </w:p>
          <w:bookmarkStart w:id="41827244" w:name="category-133056"/>
          <w:bookmarkEnd w:id="41827244"/>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12.2.2, 13.2.2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polyolefinen (PE, PP) - LDPE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Recupereren van de monomeren afkomstig van de zuigercompressoren om de monomeren vervolgens - te recycleren (hercirculeren) binnen het proces en / of- naar een thermische oxidatie-unit (naverbrander) te sturen</w:t>
            </w:r>
          </w:p>
          <w:p>
            <w:pPr>
              <w:widowControl w:val="on"/>
              <w:pBdr/>
              <w:spacing w:before="160" w:after="160" w:line="240" w:lineRule="auto"/>
              <w:ind w:left="0" w:right="0"/>
              <w:jc w:val="left"/>
            </w:pPr>
            <w:r>
              <w:rPr>
                <w:color w:val="000000"/>
                <w:sz w:val="16"/>
                <w:szCs w:val="16"/>
              </w:rPr>
              <w:t xml:space="preserve">Recupereren van de monomeren afkomstig van de zuigercompressoren om de monomeren vervolgens</w:t>
            </w:r>
            <w:r>
              <w:rPr>
                <w:color w:val="000000"/>
                <w:sz w:val="16"/>
                <w:szCs w:val="16"/>
              </w:rPr>
              <w:br/>
              <w:br/>
              <w:t xml:space="preserve">- te recycleren (hercirculeren) binnen het proces en / of</w:t>
            </w:r>
            <w:r>
              <w:rPr>
                <w:color w:val="000000"/>
                <w:sz w:val="16"/>
                <w:szCs w:val="16"/>
              </w:rPr>
              <w:br/>
              <w:t xml:space="preserve">- naar een thermische oxidatie-unit (naverbrander) te sturen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12.2.1, 13.2.1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hoge druk LDPE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polyolefinen (PE, PP) - LDPE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Reduceren van de emissies ter hoogte van de eindafwerkingssectie en de opslagsectie.</w:t>
            </w:r>
          </w:p>
          <w:p>
            <w:pPr>
              <w:widowControl w:val="on"/>
              <w:pBdr/>
              <w:spacing w:before="160" w:after="160" w:line="240" w:lineRule="auto"/>
              <w:ind w:left="0" w:right="0"/>
              <w:jc w:val="left"/>
            </w:pPr>
            <w:r>
              <w:rPr>
                <w:color w:val="000000"/>
                <w:sz w:val="16"/>
                <w:szCs w:val="16"/>
              </w:rPr>
              <w:t xml:space="preserve">Reduceren van de emissies ter hoogte van de eindafwerkingssectie en de opslagsectie door :</w:t>
            </w:r>
            <w:r>
              <w:rPr>
                <w:color w:val="000000"/>
                <w:sz w:val="16"/>
                <w:szCs w:val="16"/>
              </w:rPr>
              <w:br/>
              <w:br/>
              <w:t xml:space="preserve">- De lage druk afscheider te laten werken bij minimale druk en / of</w:t>
            </w:r>
            <w:r>
              <w:rPr>
                <w:color w:val="000000"/>
                <w:sz w:val="16"/>
                <w:szCs w:val="16"/>
              </w:rPr>
              <w:br/>
              <w:t xml:space="preserve">- De keuze van het solvent en</w:t>
            </w:r>
            <w:r>
              <w:rPr>
                <w:color w:val="000000"/>
                <w:sz w:val="16"/>
                <w:szCs w:val="16"/>
              </w:rPr>
              <w:br/>
              <w:t xml:space="preserve">- Tijdens de extrusie te ontgassen (= vacuumextrusie) of</w:t>
            </w:r>
            <w:r>
              <w:rPr>
                <w:color w:val="000000"/>
                <w:sz w:val="16"/>
                <w:szCs w:val="16"/>
              </w:rPr>
              <w:br/>
              <w:t xml:space="preserve">- De afgassen afkomstig van de productsilo's te behandelen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12.2.3.1, 12.2.3.4, 12.2.3.5, 12.2.3.6, 13.2.3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Zoals beschreven in bijhorende paragraaf</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polyolefinen (PE, PP) - LLDPE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Reduceren van de emissies ter hoogte van de eindafwerkingssectie en de opslagsectie.</w:t>
            </w:r>
          </w:p>
          <w:bookmarkStart w:id="69858137" w:name="category-133064"/>
          <w:bookmarkEnd w:id="69858137"/>
          <w:p>
            <w:pPr>
              <w:widowControl w:val="on"/>
              <w:pBdr/>
              <w:spacing w:before="160" w:after="160" w:line="240" w:lineRule="auto"/>
              <w:ind w:left="0" w:right="0"/>
              <w:jc w:val="left"/>
            </w:pPr>
            <w:r>
              <w:rPr>
                <w:color w:val="000000"/>
                <w:sz w:val="16"/>
                <w:szCs w:val="16"/>
              </w:rPr>
              <w:t xml:space="preserve">Reduceren van de emissies ter hoogte van de eindafwerkingssectie en de opslagsectie door :</w:t>
            </w:r>
            <w:r>
              <w:rPr>
                <w:color w:val="000000"/>
                <w:sz w:val="16"/>
                <w:szCs w:val="16"/>
              </w:rPr>
              <w:br/>
              <w:br/>
              <w:t xml:space="preserve">- Het solvent te condenseren en / of</w:t>
            </w:r>
            <w:r>
              <w:rPr>
                <w:color w:val="000000"/>
                <w:sz w:val="16"/>
                <w:szCs w:val="16"/>
              </w:rPr>
              <w:br/>
              <w:t xml:space="preserve">- De keuze van het solvent</w:t>
            </w:r>
            <w:r>
              <w:rPr>
                <w:color w:val="000000"/>
                <w:sz w:val="16"/>
                <w:szCs w:val="16"/>
              </w:rPr>
              <w:br/>
              <w:t xml:space="preserve">- Tijdens de extrusie te ontgassen (= vacuumextrusie) of</w:t>
            </w:r>
            <w:r>
              <w:rPr>
                <w:color w:val="000000"/>
                <w:sz w:val="16"/>
                <w:szCs w:val="16"/>
              </w:rPr>
              <w:br/>
              <w:t xml:space="preserve">- De afgassen afkomstig van de ontgassingssilo's te behandelen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12.2.3.3, 12.2.3.4, 12.2.3.5, 12.2.3.6, 13.2.3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Zoals beschreven in bijhorende paragraaf</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afvalwater</w:t>
            </w:r>
          </w:p>
          <w:bookmarkStart w:id="81581826" w:name="category-133098"/>
          <w:bookmarkEnd w:id="81581826"/>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:GPPS  : 0,8 ton / ton productHIPS  : 0,8 ton / ton productEPS  : 2 ton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CZV (water)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:GPPS  : 30 g / ton product HIPS : 30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KWS naar 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:GPPS  : 1,5 g / ton productHIPS  : 1,5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opgeloste stof (water)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:EPS : 0,3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purgeerwater van koeltoren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:GPPS : 0,5 ton / ton productHIPS : 0,6 ton / ton productEPS : 1,7 ton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stof naar de lucht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:GPPS  : 20 g / ton productHIPS  : 20 g / ton productEPS  : 30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VOS  naar de lucht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:GPPS  : 85 g / ton productHIPS  : 85 g / ton productEPS  : 450 - 700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zwevende stof  (water)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:GPPS  : 10 g / ton productHIPS : 10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gevaarlijk afval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:GPPS : 0,5 kg / ton productHIPS: 0,5 kg / ton productEPS: 3,0 kg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niet-gevaarlijk afval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:GPPS: 2 kg / ton productHIPS  : 3 kg / ton productEPS : 6 kg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additieven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:GPPS : 0,005 ton / ton productHIPS  : 0,005 ton / ton productEPS  : 0,03 ton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directe energie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:GPPS  : 1,08 GJ / ton productHIPS  : 1,48 GJ / ton productEPS : 1,80 GJ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koelwater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:GPPS  : 50 ton / ton productHIPS  : 50 ton / ton productEPS  : 17  ton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minerale olie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:GPPS  : 0,02 ton / ton productHIPS : 0,02 ton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monomeer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:GPPS  : 985 kg / ton productHIPS  : 915 kg / ton productEPS  : 939 kg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oplosmiddel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:GPPS  : 0,001 ton / ton productHIPS  : 0,001 ton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pentaan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:EPS  : 0,065  ton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proceswater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:GPPS  : 0,596 ton / ton productHIPS  : 0,519 ton / ton productEPS  : 2,1  ton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rubber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:HIPS  : 0,07 ton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stikstof</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:GPPS  : 0,022 ton / ton productHIPS  : 0,010 ton / ton productEPS  : 0,01 ton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Collecteren en nabehandelen van de afgassen van de pelletisatiesectie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12.3, 13.3.3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GPPS en HIPS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pPr>
        <w:pageBreakBefore/>
      </w:pPr>
      <w:r/>
    </w:p>
    <w:p>
      <w:pPr>
        <w:widowControl w:val="on"/>
        <w:pBdr/>
        <w:spacing w:before="160" w:after="160" w:line="240" w:lineRule="auto"/>
        <w:ind w:left="0" w:right="0"/>
        <w:jc w:val="left"/>
      </w:pPr>
      <w:r>
        <w:rPr>
          <w:color w:val="000000"/>
          <w:sz w:val="16"/>
          <w:szCs w:val="16"/>
        </w:rPr>
        <w:t xml:space="preserve">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Recupereren van de purgeer stromen en de afgassen van de reactor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12.3, 13.3.2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Reduceren en controleren van de emissies ter hoogte van de opslagsectie door middel van verschillende technieken.</w:t>
            </w:r>
          </w:p>
          <w:p>
            <w:pPr>
              <w:widowControl w:val="on"/>
              <w:pBdr/>
              <w:spacing w:before="160" w:after="160" w:line="240" w:lineRule="auto"/>
              <w:ind w:left="0" w:right="0"/>
              <w:jc w:val="left"/>
            </w:pPr>
            <w:r>
              <w:rPr>
                <w:color w:val="000000"/>
                <w:sz w:val="16"/>
                <w:szCs w:val="16"/>
              </w:rPr>
              <w:t xml:space="preserve">Reduceren en controleren van de emissies ter hoogte van de opslagsectie door middel van één of méér van de volgende technieken :</w:t>
            </w:r>
            <w:r>
              <w:rPr>
                <w:color w:val="000000"/>
                <w:sz w:val="16"/>
                <w:szCs w:val="16"/>
              </w:rPr>
              <w:br/>
              <w:br/>
              <w:t xml:space="preserve">- Minimalisering van niveauverandering</w:t>
            </w:r>
            <w:r>
              <w:rPr>
                <w:color w:val="000000"/>
                <w:sz w:val="16"/>
                <w:szCs w:val="16"/>
              </w:rPr>
              <w:br/>
              <w:t xml:space="preserve">- Gasbalanssysteem</w:t>
            </w:r>
            <w:r>
              <w:rPr>
                <w:color w:val="000000"/>
                <w:sz w:val="16"/>
                <w:szCs w:val="16"/>
              </w:rPr>
              <w:br/>
              <w:t xml:space="preserve">- Vlottend dak (enkel voor grote opslagtanks)</w:t>
            </w:r>
            <w:r>
              <w:rPr>
                <w:color w:val="000000"/>
                <w:sz w:val="16"/>
                <w:szCs w:val="16"/>
              </w:rPr>
              <w:br/>
              <w:t xml:space="preserve">- Condensors</w:t>
            </w:r>
            <w:r>
              <w:rPr>
                <w:color w:val="000000"/>
                <w:sz w:val="16"/>
                <w:szCs w:val="16"/>
              </w:rPr>
              <w:br/>
              <w:t xml:space="preserve">- Recuperatie en nabehandeling van de afgassen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12.3, 13.3.1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Reduceren van de emissies afkomstig van de voorbereiding van de lading voor de reactoren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12.3, 13.3.4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EPS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polystyreen (PS)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Reduceren van de emissies afkomstig van het oplossysteem</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12.3, 13.3.5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HIPS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polyvinylchloride (PVC)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CZV (water)</w:t>
            </w:r>
          </w:p>
          <w:bookmarkStart w:id="93555533" w:name="category-133198"/>
          <w:bookmarkEnd w:id="93555533"/>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13.4.10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:S-PVC  : 50 - 480 g / ton productE-PVC  : 50 - 480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polyvinylchloride (PVC)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stof  naar de lucht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13.4.10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:S-PVC  : 10 - 40 g / ton productE-PVC  : 50 - 200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polyvinylchloride (PVC)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VCM   naar de lucht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13.4.10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:S-PVC  : 0,3 - 1,8 g / ton productE-PVC  : 1 - 8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polyvinylchloride (PVC)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VOS   naar de lucht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13.4.10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:S-PVC  : 18 - 45 g / ton product (splitview  : 18 - 72 g / ton product)E-PVC : 100 - 5000 g / ton product  (splitview  : 160 - 700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polyvinylchloride (PVC)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zwevende stof    (water)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13.4.10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:S-PVC : 10 g / ton product*E-PVC: 10 g / ton product** : 1 - 12 g AOX / ton product bij productiesites van PVC of gecombineerde productiesites met PVC.</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polyvinylchloride (PVC)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gevaarlijk afval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13.4.10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:S-PVC : 0,01 - 0,055 kg / ton productE-PVC : 0,025 - 0,075 kg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polyvinylchloride (PVC)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Behandelen van emissies van VCM (vinyl chloride monomeer) afkomstig van het recuperatiesysteem. Gebruiken van één of méér equivalente technieken.</w:t>
            </w:r>
          </w:p>
          <w:p>
            <w:pPr>
              <w:widowControl w:val="on"/>
              <w:pBdr/>
              <w:spacing w:before="160" w:after="160" w:line="240" w:lineRule="auto"/>
              <w:ind w:left="0" w:right="0"/>
              <w:jc w:val="left"/>
            </w:pPr>
            <w:r>
              <w:rPr>
                <w:color w:val="000000"/>
                <w:sz w:val="16"/>
                <w:szCs w:val="16"/>
              </w:rPr>
              <w:t xml:space="preserve">Behandelen van emissies van VCM (vinyl chloride monomeer) afkomstig van het recuperatiesysteem</w:t>
            </w:r>
            <w:r>
              <w:rPr>
                <w:color w:val="000000"/>
                <w:sz w:val="16"/>
                <w:szCs w:val="16"/>
              </w:rPr>
              <w:br/>
              <w:br/>
              <w:t xml:space="preserve">Gebruiken van één of méér van de volgende of equivalente technieken :</w:t>
            </w:r>
            <w:r>
              <w:rPr>
                <w:color w:val="000000"/>
                <w:sz w:val="16"/>
                <w:szCs w:val="16"/>
              </w:rPr>
              <w:br/>
              <w:t xml:space="preserve">- absorptie</w:t>
            </w:r>
            <w:r>
              <w:rPr>
                <w:color w:val="000000"/>
                <w:sz w:val="16"/>
                <w:szCs w:val="16"/>
              </w:rPr>
              <w:br/>
              <w:t xml:space="preserve">- adsorptie</w:t>
            </w:r>
            <w:r>
              <w:rPr>
                <w:color w:val="000000"/>
                <w:sz w:val="16"/>
                <w:szCs w:val="16"/>
              </w:rPr>
              <w:br/>
              <w:t xml:space="preserve">- katalytische oxidatie (naverbranding)</w:t>
            </w:r>
            <w:r>
              <w:rPr>
                <w:color w:val="000000"/>
                <w:sz w:val="16"/>
                <w:szCs w:val="16"/>
              </w:rPr>
              <w:br/>
              <w:t xml:space="preserve">- verbranding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12.4.6, 13.4.7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polyvinylchloride (PVC)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Gebruiken van een combinatie van volgende technieken :- stripping- flocculatie- biologische afvalwaterzuivering</w:t>
            </w:r>
          </w:p>
          <w:p>
            <w:pPr>
              <w:widowControl w:val="on"/>
              <w:pBdr/>
              <w:spacing w:before="160" w:after="160" w:line="240" w:lineRule="auto"/>
              <w:ind w:left="0" w:right="0"/>
              <w:jc w:val="left"/>
            </w:pPr>
            <w:r>
              <w:rPr>
                <w:color w:val="000000"/>
                <w:sz w:val="16"/>
                <w:szCs w:val="16"/>
              </w:rPr>
              <w:t xml:space="preserve">Gebruiken van een combinatie van volgende technieken :</w:t>
            </w:r>
            <w:r>
              <w:rPr>
                <w:color w:val="000000"/>
                <w:sz w:val="16"/>
                <w:szCs w:val="16"/>
              </w:rPr>
              <w:br/>
              <w:t xml:space="preserve">- stripping</w:t>
            </w:r>
            <w:r>
              <w:rPr>
                <w:color w:val="000000"/>
                <w:sz w:val="16"/>
                <w:szCs w:val="16"/>
              </w:rPr>
              <w:br/>
              <w:t xml:space="preserve">- flocculatie</w:t>
            </w:r>
            <w:r>
              <w:rPr>
                <w:color w:val="000000"/>
                <w:sz w:val="16"/>
                <w:szCs w:val="16"/>
              </w:rPr>
              <w:br/>
              <w:t xml:space="preserve">- biologische afvalwaterzuivering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polyvinylchloride (PVC)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Gebruiken van geschikte faciliteiten voor de opslag van het basismateriaal VCM (vinyl chloride monomeer), ontworpen en onderhouden zodat lekkages en resulterende verontreiniging van bodem, lucht en water worden voorkomen.</w:t>
            </w:r>
          </w:p>
          <w:p>
            <w:pPr>
              <w:widowControl w:val="on"/>
              <w:pBdr/>
              <w:spacing w:before="160" w:after="160" w:line="240" w:lineRule="auto"/>
              <w:ind w:left="0" w:right="0"/>
              <w:jc w:val="left"/>
            </w:pPr>
            <w:r>
              <w:rPr>
                <w:color w:val="000000"/>
                <w:sz w:val="16"/>
                <w:szCs w:val="16"/>
              </w:rPr>
              <w:t xml:space="preserve">Gebruiken van geschikte faciliteiten voor de opslag van het basismateriaal VCM (vinyl chloride monomeer), ontworpen en onderhouden zodat lekkages en resulterende verontreiniging van bodem, lucht en water worden voorkomen</w:t>
            </w:r>
            <w:r>
              <w:rPr>
                <w:color w:val="000000"/>
                <w:sz w:val="16"/>
                <w:szCs w:val="16"/>
              </w:rPr>
              <w:br/>
              <w:br/>
              <w:t xml:space="preserve">VCM opslaan in :</w:t>
            </w:r>
            <w:r>
              <w:rPr>
                <w:color w:val="000000"/>
                <w:sz w:val="16"/>
                <w:szCs w:val="16"/>
              </w:rPr>
              <w:br/>
              <w:t xml:space="preserve">- een gekoelde opslagtank, onder atmosferische druk of</w:t>
            </w:r>
            <w:r>
              <w:rPr>
                <w:color w:val="000000"/>
                <w:sz w:val="16"/>
                <w:szCs w:val="16"/>
              </w:rPr>
              <w:br/>
              <w:t xml:space="preserve">- een onder druk staande opslagtank, bij omgevingstemperatuur</w:t>
            </w:r>
            <w:r>
              <w:rPr>
                <w:color w:val="000000"/>
                <w:sz w:val="16"/>
                <w:szCs w:val="16"/>
              </w:rPr>
              <w:br/>
              <w:br/>
              <w:t xml:space="preserve">Emissies van VCM vermijden door de opslagtanks uit te rusten met :</w:t>
            </w:r>
            <w:r>
              <w:rPr>
                <w:color w:val="000000"/>
                <w:sz w:val="16"/>
                <w:szCs w:val="16"/>
              </w:rPr>
              <w:br/>
              <w:t xml:space="preserve">- gekoelde reflux condensors en/of</w:t>
            </w:r>
            <w:r>
              <w:rPr>
                <w:color w:val="000000"/>
                <w:sz w:val="16"/>
                <w:szCs w:val="16"/>
              </w:rPr>
              <w:br/>
              <w:t xml:space="preserve">- evacuatie en behandeling van VCM vóór ontkoppeling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12.4.1, 13.4.1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polyvinylchloride (PVC)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Reduceren van de residuele emissies van VCM (vinyl chloride monomeer) uit de reactorenGebruiken van een combinatie van equivalente technieken.</w:t>
            </w:r>
          </w:p>
          <w:p>
            <w:pPr>
              <w:widowControl w:val="on"/>
              <w:pBdr/>
              <w:spacing w:before="160" w:after="160" w:line="240" w:lineRule="auto"/>
              <w:ind w:left="0" w:right="0"/>
              <w:jc w:val="left"/>
            </w:pPr>
            <w:r>
              <w:rPr>
                <w:color w:val="000000"/>
                <w:sz w:val="16"/>
                <w:szCs w:val="16"/>
              </w:rPr>
              <w:t xml:space="preserve">Reduceren van de residuele emissies van VCM (vinyl chloride monomeer) uit de reactoren</w:t>
            </w:r>
            <w:r>
              <w:rPr>
                <w:color w:val="000000"/>
                <w:sz w:val="16"/>
                <w:szCs w:val="16"/>
              </w:rPr>
              <w:br/>
              <w:br/>
              <w:t xml:space="preserve">Gebruiken van een combinatie van volgende of equivalente technieken :</w:t>
            </w:r>
            <w:r>
              <w:rPr>
                <w:color w:val="000000"/>
                <w:sz w:val="16"/>
                <w:szCs w:val="16"/>
              </w:rPr>
              <w:br/>
              <w:t xml:space="preserve">- reduceren van de frequentie waar reactoren mee worden geopend</w:t>
            </w:r>
            <w:r>
              <w:rPr>
                <w:color w:val="000000"/>
                <w:sz w:val="16"/>
                <w:szCs w:val="16"/>
              </w:rPr>
              <w:br/>
              <w:t xml:space="preserve">- wegnemen van de overdruk uit de reactoren door het afblazen naar de VCM recuperatie-eenheid</w:t>
            </w:r>
            <w:r>
              <w:rPr>
                <w:color w:val="000000"/>
                <w:sz w:val="16"/>
                <w:szCs w:val="16"/>
              </w:rPr>
              <w:br/>
              <w:t xml:space="preserve">- afvoeren van de vloeibare inhoud naar gesloten tanks</w:t>
            </w:r>
            <w:r>
              <w:rPr>
                <w:color w:val="000000"/>
                <w:sz w:val="16"/>
                <w:szCs w:val="16"/>
              </w:rPr>
              <w:br/>
              <w:t xml:space="preserve">- spoelen en reinigen van de reactor met water</w:t>
            </w:r>
            <w:r>
              <w:rPr>
                <w:color w:val="000000"/>
                <w:sz w:val="16"/>
                <w:szCs w:val="16"/>
              </w:rPr>
              <w:br/>
              <w:t xml:space="preserve">- afvoeren van dit water naar een stripper</w:t>
            </w:r>
            <w:r>
              <w:rPr>
                <w:color w:val="000000"/>
                <w:sz w:val="16"/>
                <w:szCs w:val="16"/>
              </w:rPr>
              <w:br/>
              <w:t xml:space="preserve">- uitstomen en/of spoelen met inert gas om sporen van VCM te verwijderen, afvoeren naar de VCM recuperatie-eenheid</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12.4.3, 13.4.3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polyvinylchloride (PVC)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Strippen van de suspensie of rubberlatex om alzo een product met lage VCM (vinyl chloride monomeer) concentratie te bekomen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12.4.4, 13.4.4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emulsie- en suspensie-installaties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polyvinylchloride (PVC)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Vermijden en controleren van fugitieve emissies van VCM (vinyl chloride monomeer) uit verbindingen en dichtingen (afsluitingen)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12.4.7, 13.4.8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polyvinylchloride (PVC)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Vermijden van accidentele emissies van VCM (vinyl chloride monomeer) uit de polymerisatiereactoren. </w:t>
            </w:r>
          </w:p>
          <w:p>
            <w:pPr>
              <w:widowControl w:val="on"/>
              <w:pBdr/>
              <w:spacing w:before="160" w:after="160" w:line="240" w:lineRule="auto"/>
              <w:ind w:left="0" w:right="0"/>
              <w:jc w:val="left"/>
            </w:pPr>
            <w:r>
              <w:rPr>
                <w:color w:val="000000"/>
                <w:sz w:val="16"/>
                <w:szCs w:val="16"/>
              </w:rPr>
              <w:t xml:space="preserve">Vermijden van accidentele emissies van VCM (vinyl chloride monomeer) uit de polymerisatiereactoren</w:t>
            </w:r>
            <w:r>
              <w:rPr>
                <w:color w:val="000000"/>
                <w:sz w:val="16"/>
                <w:szCs w:val="16"/>
              </w:rPr>
              <w:br/>
              <w:br/>
              <w:t xml:space="preserve">Gebruiken van één of méér van de volgende of equivalente technieken :</w:t>
            </w:r>
            <w:r>
              <w:rPr>
                <w:color w:val="000000"/>
                <w:sz w:val="16"/>
                <w:szCs w:val="16"/>
              </w:rPr>
              <w:br/>
              <w:t xml:space="preserve">- specifieke controle instrumentatie voor de voeding van de reactor en de operationele condities</w:t>
            </w:r>
            <w:r>
              <w:rPr>
                <w:color w:val="000000"/>
                <w:sz w:val="16"/>
                <w:szCs w:val="16"/>
              </w:rPr>
              <w:br/>
              <w:t xml:space="preserve">- chemische inhibitor (remmer) systeem om de reactie stop te zetten</w:t>
            </w:r>
            <w:r>
              <w:rPr>
                <w:color w:val="000000"/>
                <w:sz w:val="16"/>
                <w:szCs w:val="16"/>
              </w:rPr>
              <w:br/>
              <w:t xml:space="preserve">- koeling van de reactor bij noodgevallen</w:t>
            </w:r>
            <w:r>
              <w:rPr>
                <w:color w:val="000000"/>
                <w:sz w:val="16"/>
                <w:szCs w:val="16"/>
              </w:rPr>
              <w:br/>
              <w:t xml:space="preserve">- noodstroom voor agitatie (niet noodzakelijk indien de katalysator enkel oplosbaar is in water)</w:t>
            </w:r>
            <w:r>
              <w:rPr>
                <w:color w:val="000000"/>
                <w:sz w:val="16"/>
                <w:szCs w:val="16"/>
              </w:rPr>
              <w:br/>
              <w:t xml:space="preserve">- evacuatie naar de VCM recuperatie-eenheid bij noodgevallen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12.4.8, 13.4.9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polyvinylchloride (PVC)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Vermijden van emissies uit verbindingen bij de op- en overslag van VCM (vinyl chloride monomeer)Gebruiken van één van de volgende technieken :- Gebruik van gasbalanssysteem- evacuatie en behandeling van VCM vóór ontkoppeling</w:t>
            </w:r>
          </w:p>
          <w:p>
            <w:pPr>
              <w:widowControl w:val="on"/>
              <w:pBdr/>
              <w:spacing w:before="160" w:after="160" w:line="240" w:lineRule="auto"/>
              <w:ind w:left="0" w:right="0"/>
              <w:jc w:val="left"/>
            </w:pPr>
            <w:r>
              <w:rPr>
                <w:color w:val="000000"/>
                <w:sz w:val="16"/>
                <w:szCs w:val="16"/>
              </w:rPr>
              <w:t xml:space="preserve">Vermijden van emissies uit verbindingen bij de op- en overslag van VCM (vinyl chloride monomeer)</w:t>
            </w:r>
            <w:r>
              <w:rPr>
                <w:color w:val="000000"/>
                <w:sz w:val="16"/>
                <w:szCs w:val="16"/>
              </w:rPr>
              <w:br/>
              <w:br/>
              <w:t xml:space="preserve">Gebruiken van één van de volgende technieken :</w:t>
            </w:r>
            <w:r>
              <w:rPr>
                <w:color w:val="000000"/>
                <w:sz w:val="16"/>
                <w:szCs w:val="16"/>
              </w:rPr>
              <w:br/>
              <w:t xml:space="preserve">- Gebruik van gasbalanssysteem</w:t>
            </w:r>
            <w:r>
              <w:rPr>
                <w:color w:val="000000"/>
                <w:sz w:val="16"/>
                <w:szCs w:val="16"/>
              </w:rPr>
              <w:br/>
              <w:t xml:space="preserve">- evacuatie en behandeling van VCM vóór ontkoppeling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12.4.2, 13.4.2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polyvinylchloride (PVC)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Vermijden van emissies van stof tijdens het drogen- gebruik van meervoudige zakkenfilters voor emulsieproces- gebruik van zakkenfilters voor microsuspensieproces- gebruik van cyclonen voor suspensieproces</w:t>
            </w:r>
          </w:p>
          <w:p>
            <w:pPr>
              <w:widowControl w:val="on"/>
              <w:pBdr/>
              <w:spacing w:before="160" w:after="160" w:line="240" w:lineRule="auto"/>
              <w:ind w:left="0" w:right="0"/>
              <w:jc w:val="left"/>
            </w:pPr>
            <w:r>
              <w:rPr>
                <w:color w:val="000000"/>
                <w:sz w:val="16"/>
                <w:szCs w:val="16"/>
              </w:rPr>
              <w:t xml:space="preserve">Vermijden van emissies van stof tijdens het drogen</w:t>
            </w:r>
            <w:r>
              <w:rPr>
                <w:color w:val="000000"/>
                <w:sz w:val="16"/>
                <w:szCs w:val="16"/>
              </w:rPr>
              <w:br/>
              <w:br/>
              <w:t xml:space="preserve">- gebruik van meervoudige zakkenfilters voor emulsieproces</w:t>
            </w:r>
            <w:r>
              <w:rPr>
                <w:color w:val="000000"/>
                <w:sz w:val="16"/>
                <w:szCs w:val="16"/>
              </w:rPr>
              <w:br/>
              <w:t xml:space="preserve">- gebruik van zakkenfilters voor microsuspensieproces</w:t>
            </w:r>
            <w:r>
              <w:rPr>
                <w:color w:val="000000"/>
                <w:sz w:val="16"/>
                <w:szCs w:val="16"/>
              </w:rPr>
              <w:br/>
              <w:t xml:space="preserve">- gebruik van cyclonen voor suspensieproces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12.4.5, 13.4.6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emulsie- en suspensie-installaties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CZV    (water)</w:t>
            </w:r>
          </w:p>
          <w:bookmarkStart w:id="60030386" w:name="category-133242"/>
          <w:bookmarkEnd w:id="60030386"/>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13.10.9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 3.000 - 5.000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S  naar de lucht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13.10.9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 12 - 20 kg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SO42-  naar de lucht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13.10.9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 200 - 300 kg / ton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emissie van Zn naar de lucht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13.10.9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 10 - 50 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CS2</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13.10.9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 80 - 100 kg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H2SO4</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13.10.9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 0,6 - 1,0 ton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NaOCl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13.10.9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 0 - 50 kg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NaOH</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13.10.9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 0,4 - 0,6 ton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directe energie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13.10.9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 20 - 30 GJ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koelwater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13.10.9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 189 - 206  m³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proceswater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13.10.9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 35 - 70  m³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pulp</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13.10.9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 1.035 - 1.065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ter beperking van verbruik van Zn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13.10.9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consumptiewaarden  : 2 - 10 kg / ton product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Omkasten van de spinmachines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12.7.1, 13.10.1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Ontzwavelen van de afgassen door katalytische oxidatie (met de vorming van zwavelzuur)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12.7.4, 13.10.4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Afhankelijk van de concentratie in en het debiet van de afgassen zijn er verschillende technologieën beschikbaar voor de oxidatie van zwavelhoudende afgassen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Recupereren van CS2 door condensatie van de afgassen afkomstig van de spinmachines en recycleren (hercirculeren) van deze CS2 binnen het proces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12.7.2, 13.10.2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Recupereren van CS2 uit de afgassen door actief kool adsorptie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12.7.3, 13.10.3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solventhoudende (CS2 en H2S) afgassen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Afhankelijk van de concentratie H2S in de afgassen zijn er verschillende technologieën beschikbaar voor de adsorptie van CS2</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Recupereren van sulfaat (onder de vorm van natriumsulfaat) uit de spinbaden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12.7.5, 13.10.5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Reduceren van sulfaat in een anaerobe reactor indien het afvalwater geloosd wordt in een gevoelig waterlichaam (kwetsbaar gebied)</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12.7.7, 13.10.7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 (indien het afvalwater geloosd wordt in een gevoelig waterlichaam (kwetsbaar gebied))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Reduceren van zink in het afvalwater door precipitatie, onder toevoeging van een base (kalkmelk), gevolgd door verdere precipitatie onder toevoeging van waterstofsulfide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12.7.6, 13.10.6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emissiewaarde :water :- Zn : 0,3 mg/l</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Productie van viscose(vezels)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Verbranden van niet-gevaarlijk afval in een wervelbedoven en recuperatie van de warmte voor de productie van stoom of energie (elektriciteit)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12.7.8, 13.10.8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alle installaties (beperkingen opgelegd door Waste Incineration Directive)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sectPr w:rsidSect="00AD7837">
      <w:footerReference w:type="default" r:id="rId8"/>
      <w:footerReference w:type="first" r:id="rId9"/>
      <w:pgSz w:w="16838" w:h="11906" w:orient="landscape" w:code="9"/>
      <w:pgMar w:top="709" w:right="1531" w:bottom="425" w:left="1418" w:header="709" w:footer="35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F5" w:rsidRDefault="00CF7AF5" w:rsidP="00154604">
      <w:pPr>
        <w:spacing w:after="0" w:line="240" w:lineRule="auto"/>
      </w:pPr>
      <w:r>
        <w:separator/>
      </w:r>
    </w:p>
  </w:endnote>
  <w:endnote w:type="continuationSeparator" w:id="0">
    <w:p w:rsidR="00CF7AF5" w:rsidRDefault="00CF7AF5" w:rsidP="001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2673F9">
    <w:pPr>
      <w:pStyle w:val="Footer"/>
      <w:pBdr>
        <w:top w:val="single" w:sz="4" w:space="1" w:color="auto"/>
      </w:pBdr>
      <w:tabs>
        <w:tab w:val="clear" w:pos="4536"/>
        <w:tab w:val="clear" w:pos="9072"/>
        <w:tab w:val="center" w:pos="6946"/>
        <w:tab w:val="right" w:pos="13892"/>
      </w:tabs>
      <w:jc w:val="center"/>
    </w:pPr>
    <w:r>
      <w:rPr>
        <w:sz w:val="16"/>
        <w:szCs w:val="16"/>
      </w:rPr>
      <w:t>GPBV-checklijst voor Polymeren</w:t>
    </w:r>
    <w: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tab/>
    </w:r>
    <w:r>
      <w:rPr>
        <w:position w:val="-18"/>
      </w:rPr>
      <w:drawing>
        <wp:inline distT="0" distB="0" distL="0" distR="0" wp14:anchorId="0B197FF2" wp14:editId="6C4E2673">
          <wp:extent cx="597036" cy="368384"/>
          <wp:effectExtent l="19050" t="0" r="0" b="0"/>
          <wp:docPr id="6"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97238C">
    <w:pPr>
      <w:pStyle w:val="Footer"/>
      <w:pBdr>
        <w:top w:val="single" w:sz="4" w:space="1" w:color="auto"/>
      </w:pBdr>
      <w:tabs>
        <w:tab w:val="clear" w:pos="4536"/>
        <w:tab w:val="clear" w:pos="9072"/>
        <w:tab w:val="center" w:pos="6946"/>
        <w:tab w:val="right" w:pos="13892"/>
      </w:tabs>
      <w:jc w:val="both"/>
    </w:pPr>
    <w:r>
      <w:rPr>
        <w:sz w:val="16"/>
        <w:szCs w:val="16"/>
      </w:rPr>
      <w:t>GPBV-checklijst voor Polymeren</w:t>
    </w:r>
    <w:r>
      <w:tab/>
    </w:r>
    <w:r>
      <w:tab/>
    </w:r>
    <w:r>
      <w:rPr>
        <w:position w:val="-18"/>
      </w:rPr>
      <w:drawing>
        <wp:inline distT="0" distB="0" distL="0" distR="0">
          <wp:extent cx="597036" cy="368384"/>
          <wp:effectExtent l="19050" t="0" r="0" b="0"/>
          <wp:docPr id="5"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F5" w:rsidRDefault="00CF7AF5" w:rsidP="00154604">
      <w:pPr>
        <w:spacing w:after="0" w:line="240" w:lineRule="auto"/>
      </w:pPr>
      <w:r>
        <w:separator/>
      </w:r>
    </w:p>
  </w:footnote>
  <w:footnote w:type="continuationSeparator" w:id="0">
    <w:p w:rsidR="00CF7AF5" w:rsidRDefault="00CF7AF5" w:rsidP="00154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754727">
    <w:multiLevelType w:val="hybridMultilevel"/>
    <w:lvl w:ilvl="0" w:tplc="620636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754727">
    <w:abstractNumId w:val="757547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64"/>
    <w:rsid w:val="00031346"/>
    <w:rsid w:val="00060AEC"/>
    <w:rsid w:val="000658B3"/>
    <w:rsid w:val="000C0509"/>
    <w:rsid w:val="000E44A6"/>
    <w:rsid w:val="000E59FE"/>
    <w:rsid w:val="00100629"/>
    <w:rsid w:val="00154604"/>
    <w:rsid w:val="001C1A9A"/>
    <w:rsid w:val="001E5914"/>
    <w:rsid w:val="001F587E"/>
    <w:rsid w:val="00207691"/>
    <w:rsid w:val="002238DC"/>
    <w:rsid w:val="0023391E"/>
    <w:rsid w:val="00235726"/>
    <w:rsid w:val="002428C2"/>
    <w:rsid w:val="002673F9"/>
    <w:rsid w:val="002759C3"/>
    <w:rsid w:val="002B41AA"/>
    <w:rsid w:val="00363659"/>
    <w:rsid w:val="00382716"/>
    <w:rsid w:val="00391C11"/>
    <w:rsid w:val="003A3C73"/>
    <w:rsid w:val="003F268D"/>
    <w:rsid w:val="004139E5"/>
    <w:rsid w:val="00413D11"/>
    <w:rsid w:val="004679CE"/>
    <w:rsid w:val="004B0E1F"/>
    <w:rsid w:val="004B4710"/>
    <w:rsid w:val="004C41D3"/>
    <w:rsid w:val="005028AC"/>
    <w:rsid w:val="0051671E"/>
    <w:rsid w:val="00562B83"/>
    <w:rsid w:val="005A0E5E"/>
    <w:rsid w:val="005C5EA7"/>
    <w:rsid w:val="005D55B4"/>
    <w:rsid w:val="00602566"/>
    <w:rsid w:val="0060712F"/>
    <w:rsid w:val="00662251"/>
    <w:rsid w:val="00666F77"/>
    <w:rsid w:val="006826EB"/>
    <w:rsid w:val="006B0AA1"/>
    <w:rsid w:val="006B7A2F"/>
    <w:rsid w:val="006D4AC0"/>
    <w:rsid w:val="007064AC"/>
    <w:rsid w:val="00712442"/>
    <w:rsid w:val="0072730E"/>
    <w:rsid w:val="00752F2F"/>
    <w:rsid w:val="0075371A"/>
    <w:rsid w:val="00766F93"/>
    <w:rsid w:val="007861CB"/>
    <w:rsid w:val="007A3C3D"/>
    <w:rsid w:val="00800D8F"/>
    <w:rsid w:val="008030CB"/>
    <w:rsid w:val="0080613E"/>
    <w:rsid w:val="00807357"/>
    <w:rsid w:val="008110E1"/>
    <w:rsid w:val="00815AE5"/>
    <w:rsid w:val="00816B74"/>
    <w:rsid w:val="00847216"/>
    <w:rsid w:val="00850236"/>
    <w:rsid w:val="008514E5"/>
    <w:rsid w:val="00854B74"/>
    <w:rsid w:val="008B3835"/>
    <w:rsid w:val="008D05D5"/>
    <w:rsid w:val="008E3E63"/>
    <w:rsid w:val="00901D19"/>
    <w:rsid w:val="00966438"/>
    <w:rsid w:val="0097238C"/>
    <w:rsid w:val="00982BE1"/>
    <w:rsid w:val="009C2774"/>
    <w:rsid w:val="009D1C36"/>
    <w:rsid w:val="009D7582"/>
    <w:rsid w:val="00A726BA"/>
    <w:rsid w:val="00A809EB"/>
    <w:rsid w:val="00A862CD"/>
    <w:rsid w:val="00AD7837"/>
    <w:rsid w:val="00AF17F0"/>
    <w:rsid w:val="00B22631"/>
    <w:rsid w:val="00B463D1"/>
    <w:rsid w:val="00BC320E"/>
    <w:rsid w:val="00BC3E6C"/>
    <w:rsid w:val="00C06E4C"/>
    <w:rsid w:val="00C074F6"/>
    <w:rsid w:val="00C23556"/>
    <w:rsid w:val="00C5167A"/>
    <w:rsid w:val="00C767C7"/>
    <w:rsid w:val="00C90EBF"/>
    <w:rsid w:val="00CB73D2"/>
    <w:rsid w:val="00CF7AF5"/>
    <w:rsid w:val="00D12816"/>
    <w:rsid w:val="00D163F0"/>
    <w:rsid w:val="00D20A64"/>
    <w:rsid w:val="00D2576A"/>
    <w:rsid w:val="00D54D44"/>
    <w:rsid w:val="00D5601D"/>
    <w:rsid w:val="00D605FB"/>
    <w:rsid w:val="00D614E0"/>
    <w:rsid w:val="00DC3450"/>
    <w:rsid w:val="00DD0B55"/>
    <w:rsid w:val="00DD750D"/>
    <w:rsid w:val="00E21167"/>
    <w:rsid w:val="00ED254D"/>
    <w:rsid w:val="00F42A3D"/>
    <w:rsid w:val="00F62470"/>
    <w:rsid w:val="00F8354B"/>
    <w:rsid w:val="00F96458"/>
    <w:rsid w:val="00FB3C47"/>
    <w:rsid w:val="00FD3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6480921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542D-992A-46D2-A6F2-00116434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127</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vgenechi</dc:creator>
  <cp:lastModifiedBy>Dhallé Kristof</cp:lastModifiedBy>
  <cp:revision>88</cp:revision>
  <dcterms:created xsi:type="dcterms:W3CDTF">2013-04-10T11:18:00Z</dcterms:created>
  <dcterms:modified xsi:type="dcterms:W3CDTF">2014-10-29T09:08:00Z</dcterms:modified>
</cp:coreProperties>
</file>