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Gieterijen</w:t>
      </w:r>
    </w:p>
    <w:p w:rsidRDefault="00031346" w:rsidP="00031346">
      <w:pPr>
        <w:jc w:val="center"/>
      </w:pPr>
      <w:r>
        <w:t>Op basis van de “BREF for Smitheries and Foundries Industry (SF) (2005)”</w:t>
      </w:r>
    </w:p>
    <w:p w:rsidRDefault="00BC3E6C" w:rsidP="008B3835"/>
    <w:p>
      <w:pPr>
        <w:rPr/>
      </w:pPr>
      <w:r>
        <w:fldChar w:fldCharType="begin"/>
      </w:r>
      <w:r>
        <w:instrText xml:space="preserve">HYPERLINK \l "category-121804"</w:instrText>
      </w:r>
      <w:r>
        <w:fldChar w:fldCharType="separate"/>
      </w:r>
      <w:r>
        <w:rPr/>
        <w:t xml:space="preserve">Afvalwaterzuivering</w:t>
      </w:r>
      <w:r>
        <w:fldChar w:fldCharType="end"/>
      </w:r>
    </w:p>
    <w:p>
      <w:pPr>
        <w:rPr/>
      </w:pPr>
      <w:r>
        <w:fldChar w:fldCharType="begin"/>
      </w:r>
      <w:r>
        <w:instrText xml:space="preserve">HYPERLINK \l "category-121844"</w:instrText>
      </w:r>
      <w:r>
        <w:fldChar w:fldCharType="separate"/>
      </w:r>
      <w:r>
        <w:rPr/>
        <w:t xml:space="preserve">Afwerking van gietstukken</w:t>
      </w:r>
      <w:r>
        <w:fldChar w:fldCharType="end"/>
      </w:r>
    </w:p>
    <w:p>
      <w:pPr>
        <w:rPr/>
      </w:pPr>
      <w:r>
        <w:fldChar w:fldCharType="begin"/>
      </w:r>
      <w:r>
        <w:instrText xml:space="preserve">HYPERLINK \l "category-122052"</w:instrText>
      </w:r>
      <w:r>
        <w:fldChar w:fldCharType="separate"/>
      </w:r>
      <w:r>
        <w:rPr/>
        <w:t xml:space="preserve">Algemeen</w:t>
      </w:r>
      <w:r>
        <w:fldChar w:fldCharType="end"/>
      </w:r>
    </w:p>
    <w:p>
      <w:pPr>
        <w:rPr/>
      </w:pPr>
      <w:r>
        <w:fldChar w:fldCharType="begin"/>
      </w:r>
      <w:r>
        <w:instrText xml:space="preserve">HYPERLINK \l "category-122216"</w:instrText>
      </w:r>
      <w:r>
        <w:fldChar w:fldCharType="separate"/>
      </w:r>
      <w:r>
        <w:rPr/>
        <w:t xml:space="preserve">Behandeling van ferrometaal</w:t>
      </w:r>
      <w:r>
        <w:fldChar w:fldCharType="end"/>
      </w:r>
    </w:p>
    <w:p>
      <w:pPr>
        <w:rPr/>
      </w:pPr>
      <w:r>
        <w:fldChar w:fldCharType="begin"/>
      </w:r>
      <w:r>
        <w:instrText xml:space="preserve">HYPERLINK \l "category-122238"</w:instrText>
      </w:r>
      <w:r>
        <w:fldChar w:fldCharType="separate"/>
      </w:r>
      <w:r>
        <w:rPr/>
        <w:t xml:space="preserve">Bentonietgebonden vormzanden</w:t>
      </w:r>
      <w:r>
        <w:fldChar w:fldCharType="end"/>
      </w:r>
    </w:p>
    <w:p>
      <w:pPr>
        <w:rPr/>
      </w:pPr>
      <w:r>
        <w:fldChar w:fldCharType="begin"/>
      </w:r>
      <w:r>
        <w:instrText xml:space="preserve">HYPERLINK \l "category-122392"</w:instrText>
      </w:r>
      <w:r>
        <w:fldChar w:fldCharType="separate"/>
      </w:r>
      <w:r>
        <w:rPr/>
        <w:t xml:space="preserve">Draaitrommelovens</w:t>
      </w:r>
      <w:r>
        <w:fldChar w:fldCharType="end"/>
      </w:r>
    </w:p>
    <w:p>
      <w:pPr>
        <w:rPr/>
      </w:pPr>
      <w:r>
        <w:fldChar w:fldCharType="begin"/>
      </w:r>
      <w:r>
        <w:instrText xml:space="preserve">HYPERLINK \l "category-122468"</w:instrText>
      </w:r>
      <w:r>
        <w:fldChar w:fldCharType="separate"/>
      </w:r>
      <w:r>
        <w:rPr/>
        <w:t xml:space="preserve">Duurzame vormen</w:t>
      </w:r>
      <w:r>
        <w:fldChar w:fldCharType="end"/>
      </w:r>
    </w:p>
    <w:p>
      <w:pPr>
        <w:rPr/>
      </w:pPr>
      <w:r>
        <w:fldChar w:fldCharType="begin"/>
      </w:r>
      <w:r>
        <w:instrText xml:space="preserve">HYPERLINK \l "category-122562"</w:instrText>
      </w:r>
      <w:r>
        <w:fldChar w:fldCharType="separate"/>
      </w:r>
      <w:r>
        <w:rPr/>
        <w:t xml:space="preserve">Elektrische boogovens</w:t>
      </w:r>
      <w:r>
        <w:fldChar w:fldCharType="end"/>
      </w:r>
    </w:p>
    <w:p>
      <w:pPr>
        <w:rPr/>
      </w:pPr>
      <w:r>
        <w:fldChar w:fldCharType="begin"/>
      </w:r>
      <w:r>
        <w:instrText xml:space="preserve">HYPERLINK \l "category-122634"</w:instrText>
      </w:r>
      <w:r>
        <w:fldChar w:fldCharType="separate"/>
      </w:r>
      <w:r>
        <w:rPr/>
        <w:t xml:space="preserve">Gieten, koelen en uitbreken</w:t>
      </w:r>
      <w:r>
        <w:fldChar w:fldCharType="end"/>
      </w:r>
    </w:p>
    <w:p>
      <w:pPr>
        <w:rPr/>
      </w:pPr>
      <w:r>
        <w:fldChar w:fldCharType="begin"/>
      </w:r>
      <w:r>
        <w:instrText xml:space="preserve">HYPERLINK \l "category-122786"</w:instrText>
      </w:r>
      <w:r>
        <w:fldChar w:fldCharType="separate"/>
      </w:r>
      <w:r>
        <w:rPr/>
        <w:t xml:space="preserve">Grondstoffen</w:t>
      </w:r>
      <w:r>
        <w:fldChar w:fldCharType="end"/>
      </w:r>
    </w:p>
    <w:p>
      <w:pPr>
        <w:rPr/>
      </w:pPr>
      <w:r>
        <w:fldChar w:fldCharType="begin"/>
      </w:r>
      <w:r>
        <w:instrText xml:space="preserve">HYPERLINK \l "category-122952"</w:instrText>
      </w:r>
      <w:r>
        <w:fldChar w:fldCharType="separate"/>
      </w:r>
      <w:r>
        <w:rPr/>
        <w:t xml:space="preserve">Harsgebonden vormzanden</w:t>
      </w:r>
      <w:r>
        <w:fldChar w:fldCharType="end"/>
      </w:r>
    </w:p>
    <w:p>
      <w:pPr>
        <w:rPr/>
      </w:pPr>
      <w:r>
        <w:fldChar w:fldCharType="begin"/>
      </w:r>
      <w:r>
        <w:instrText xml:space="preserve">HYPERLINK \l "category-123224"</w:instrText>
      </w:r>
      <w:r>
        <w:fldChar w:fldCharType="separate"/>
      </w:r>
      <w:r>
        <w:rPr/>
        <w:t xml:space="preserve">Inductieovens</w:t>
      </w:r>
      <w:r>
        <w:fldChar w:fldCharType="end"/>
      </w:r>
    </w:p>
    <w:p>
      <w:pPr>
        <w:rPr/>
      </w:pPr>
      <w:r>
        <w:fldChar w:fldCharType="begin"/>
      </w:r>
      <w:r>
        <w:instrText xml:space="preserve">HYPERLINK \l "category-123432"</w:instrText>
      </w:r>
      <w:r>
        <w:fldChar w:fldCharType="separate"/>
      </w:r>
      <w:r>
        <w:rPr/>
        <w:t xml:space="preserve">Kameroven</w:t>
      </w:r>
      <w:r>
        <w:fldChar w:fldCharType="end"/>
      </w:r>
    </w:p>
    <w:p>
      <w:pPr>
        <w:rPr/>
      </w:pPr>
      <w:r>
        <w:fldChar w:fldCharType="begin"/>
      </w:r>
      <w:r>
        <w:instrText xml:space="preserve">HYPERLINK \l "category-123448"</w:instrText>
      </w:r>
      <w:r>
        <w:fldChar w:fldCharType="separate"/>
      </w:r>
      <w:r>
        <w:rPr/>
        <w:t xml:space="preserve">Koepelovens</w:t>
      </w:r>
      <w:r>
        <w:fldChar w:fldCharType="end"/>
      </w:r>
    </w:p>
    <w:p>
      <w:pPr>
        <w:rPr/>
      </w:pPr>
      <w:r>
        <w:fldChar w:fldCharType="begin"/>
      </w:r>
      <w:r>
        <w:instrText xml:space="preserve">HYPERLINK \l "category-123826"</w:instrText>
      </w:r>
      <w:r>
        <w:fldChar w:fldCharType="separate"/>
      </w:r>
      <w:r>
        <w:rPr/>
        <w:t xml:space="preserve">Kroesoven</w:t>
      </w:r>
      <w:r>
        <w:fldChar w:fldCharType="end"/>
      </w:r>
    </w:p>
    <w:p>
      <w:pPr>
        <w:rPr/>
      </w:pPr>
      <w:r>
        <w:fldChar w:fldCharType="begin"/>
      </w:r>
      <w:r>
        <w:instrText xml:space="preserve">HYPERLINK \l "category-123850"</w:instrText>
      </w:r>
      <w:r>
        <w:fldChar w:fldCharType="separate"/>
      </w:r>
      <w:r>
        <w:rPr/>
        <w:t xml:space="preserve">Ontgassen en reinigen van aluminium</w:t>
      </w:r>
      <w:r>
        <w:fldChar w:fldCharType="end"/>
      </w:r>
    </w:p>
    <w:p>
      <w:pPr>
        <w:rPr/>
      </w:pPr>
      <w:r>
        <w:fldChar w:fldCharType="begin"/>
      </w:r>
      <w:r>
        <w:instrText xml:space="preserve">HYPERLINK \l "category-123912"</w:instrText>
      </w:r>
      <w:r>
        <w:fldChar w:fldCharType="separate"/>
      </w:r>
      <w:r>
        <w:rPr/>
        <w:t xml:space="preserve">Radiant roof oven</w:t>
      </w:r>
      <w:r>
        <w:fldChar w:fldCharType="end"/>
      </w:r>
    </w:p>
    <w:p>
      <w:pPr>
        <w:rPr/>
      </w:pPr>
      <w:r>
        <w:fldChar w:fldCharType="begin"/>
      </w:r>
      <w:r>
        <w:instrText xml:space="preserve">HYPERLINK \l "category-123922"</w:instrText>
      </w:r>
      <w:r>
        <w:fldChar w:fldCharType="separate"/>
      </w:r>
      <w:r>
        <w:rPr/>
        <w:t xml:space="preserve">Schachtoven</w:t>
      </w:r>
      <w:r>
        <w:fldChar w:fldCharType="end"/>
      </w:r>
    </w:p>
    <w:p>
      <w:pPr>
        <w:rPr/>
      </w:pPr>
      <w:r>
        <w:fldChar w:fldCharType="begin"/>
      </w:r>
      <w:r>
        <w:instrText xml:space="preserve">HYPERLINK \l "category-123966"</w:instrText>
      </w:r>
      <w:r>
        <w:fldChar w:fldCharType="separate"/>
      </w:r>
      <w:r>
        <w:rPr/>
        <w:t xml:space="preserve">Smelten van magnesium</w:t>
      </w:r>
      <w:r>
        <w:fldChar w:fldCharType="end"/>
      </w:r>
    </w:p>
    <w:p w:rsidRDefault="00060AEC">
      <w:r>
        <w:br w:type="page"/>
      </w:r>
    </w:p>
    <w:p w:rsidRDefault="007861CB" w:rsidP="00B463D1">
      <w:pPr>
        <w:pBdr>
          <w:bottom w:val="single" w:sz="4" w:space="1" w:color="auto"/>
        </w:pBdr>
        <w:jc w:val="right"/>
      </w:pPr>
      <w:r>
        <w:t>Afvalwaterzuivering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Afvalwatertypes gescheiden houden naargelang hun samenstelling en belasting</w:t>
            </w:r>
          </w:p>
          <w:bookmarkStart w:id="34724711" w:name="category-121804"/>
          <w:bookmarkEnd w:id="34724711"/>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Afvalwaterzuivering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Optimalisatie van intern hergebruik van proceswater en gezuiverd afvalwater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Afvalwaterzuivering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afvoerwater van verharde oppervlakken en gebruik van olie-afscheiders op het opvangsysteem, voor lozing in het oppervlaktewater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Afvalwaterzuivering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Zuivering van afvalwater van natte rookgasreinigingssystemen en andere afvalwaterstromen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4.6.2, 4.6.3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23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Afwerking van gietstukken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Automatische sturing van oven en branders voor oven voor warmtebehandeling</w:t>
            </w:r>
          </w:p>
          <w:bookmarkStart w:id="99037446" w:name="category-121844"/>
          <w:bookmarkEnd w:id="9903744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Afwerking van gietstukken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afgassen en behandeling door een droge of natte ontstoffing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4.5.10.1, 4.5.10.2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slijpend snijden, gritstralen en ontbramen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Stof 5-20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104</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Afsluitsysteem voor processtappen met grote geluidsproductie zoals het uitschudrooster</w:t>
            </w:r>
          </w:p>
          <w:bookmarkStart w:id="50747948" w:name="category-122052"/>
          <w:bookmarkEnd w:id="50747948"/>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4.5.9.3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Algemene geluidsbeperkende maatregelen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Beperking van diffuse emissies van puntbronnen, zoals ovens bij openen en gieten. Optimalisatie van de opvang en behandeling van deze afgassen, met behulp van aangegeven maatregelen (§5.1). Voorrang aan rookgasopvang het dichtst bij de bron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Geassocieerde emissieniveaus: zie smeltovens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alle noodzakelijke maatregelen om verontreiniging bij stopzetting van de activiteiten te voorkomen; ondermeer: beperking van risico's en kosten door nauwkeurig ontwerp; verbeterprogrammas; stopzettinggsplan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een combinatie van maatregelen ter voorkoming van diffuse emissies bij op- en overslag en gebruik van grondstoffen, zoals opgelijst in §5.1 en § 4.5.1.1</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Ontwikkelen en opzetten van een strategie voor preventie van geluidshinder, met algemene en brongerichte maatregelen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Simulatiemodellen, beheers- en werkingsprocedures om de metaalopbrengst te verbeteren en de materiaalstromen te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maatregelen van goede praktijk voor transport van gesmolten metaal en behandeling van kroezen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Behandeling van ferrometaal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en evacuatie van afgassen van AOD converter met behulp van een dakafzuiging</w:t>
            </w:r>
          </w:p>
          <w:bookmarkStart w:id="45687967" w:name="category-122216"/>
          <w:bookmarkEnd w:id="4568796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staalbehandeling in een AOD converter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geassocieerde emissieniveaus: stof : 5-20 mg/Nm³ //PCDD/PCDF: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Behandeling van ferrometaal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Selectie van nodularisatietechniek zonder rookgasproductie, of opvang van de MgO-rook met deksel of afdekking met afzuiging of afzuigkap.</w:t>
            </w:r>
          </w:p>
          <w:p>
            <w:pPr>
              <w:widowControl w:val="on"/>
              <w:pBdr/>
              <w:spacing w:before="160" w:after="160" w:line="240" w:lineRule="auto"/>
              <w:ind w:left="0" w:right="0"/>
              <w:jc w:val="left"/>
            </w:pPr>
            <w:r>
              <w:rPr>
                <w:color w:val="000000"/>
                <w:sz w:val="16"/>
                <w:szCs w:val="16"/>
              </w:rPr>
              <w:t xml:space="preserve">selectie van nodularisatietechniek zonder rookgasproductie, of opvang van de MgO-rook met deksel of afdekking met afzuiging of afzuigkap; ontstoffing met doekenfilter engecollecteerde stof beschikbaar stellen voor hergebruik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4.5.7.2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en bestaande gieterijen voor nodulair gietijzer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geassocieerde emissieniveaus: stof : 5-20 mg/Nm³ //PCDD/PCDF: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49</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Bentonietgebonden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Omkasten van unit operations van zandmakerij en ontstoffing van het afgas. Als lokale markt bestaat, afzet van opgevangen stof voor extern hergebruik. </w:t>
            </w:r>
          </w:p>
          <w:bookmarkStart w:id="31772099" w:name="category-122238"/>
          <w:bookmarkEnd w:id="31772099"/>
          <w:p>
            <w:pPr>
              <w:widowControl w:val="on"/>
              <w:pBdr/>
              <w:spacing w:before="160" w:after="160" w:line="240" w:lineRule="auto"/>
              <w:ind w:left="0" w:right="0"/>
              <w:jc w:val="left"/>
            </w:pPr>
            <w:r>
              <w:rPr>
                <w:color w:val="000000"/>
                <w:sz w:val="16"/>
                <w:szCs w:val="16"/>
              </w:rPr>
              <w:t xml:space="preserve">omkasten van unit operations van zandmakerij en ontstoffing van het afgas. Als lokale markt bestaat, afzet van opgevangen stof voor extern hergebruik. Stof van uitschudrooster, doseerunit en behandeling recycleren in zandcircuit tot minstens 50% v. opgev.</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4.5.8.1, 4.8.13, 4.8.12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emissieniveau: stof 5 - 20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Bentonietgebonden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Primaire regeneratie van bentonietgebonden vormzand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regeneratieverhouding: 98% voor bentonietgebonden monozand; 90-94% voor systemen met hoog gehalte aan niet-compatibele kernen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Draaitrommelovens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Maatregelen ter optimalisatie van de smeltopbrengst</w:t>
            </w:r>
          </w:p>
          <w:bookmarkStart w:id="10755931" w:name="category-122392"/>
          <w:bookmarkEnd w:id="10755931"/>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draaitrommelovens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40</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Draaitrommelovens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ovengas dicht bij de uitgang en afvoer door een schouw</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draaitrommelovens voor smelten van aluminium</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geassocieerde emissieniveaus: stof : 1 - 20 mg/Nm³ // chloor : 3 //totale stofemissie 0,1 - 1 kg/ton gesmolten aluminium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Draaitrommelovens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ovengas dicht bij de uitgang, naverbranding, koeling met warmtewisselaar, gevolgd door droge ontstoffing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draaitrommelovens voor smelten van gietijzer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geassocieerde emissieniveaus (mg/Nm³ tenzij anders vermeld):stof : 5-20 // PCDD/PCDF: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Draaitrommelovens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Preventie en beperking van de emissie van dioxines en furanen, door een combinatie van primaire en/of secundaire maatregelen.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draaitrommelovens voor smelten van gietijzer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 sommige gevallen kan er omwille van deze vereiste een voorkeur zijn voor natte gaswassing. De industriedelegatie heeft twijfel geuit over de haalbaarheid van secundaire maatregelen en stelt de toepasbaarheid in kleine gieterijen in vraag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Draaitrommelovens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oxybrander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draaitrommelovens voor smelten van gietijzer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37</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Duurzame vormen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Beperking van het gebruik van koelsmeermiddel en water voor HPDC-vormen, m.b.v.aangegeven maatregelen. </w:t>
            </w:r>
          </w:p>
          <w:bookmarkStart w:id="50362548" w:name="category-122468"/>
          <w:bookmarkEnd w:id="50362548"/>
          <w:p>
            <w:pPr>
              <w:widowControl w:val="on"/>
              <w:pBdr/>
              <w:spacing w:before="160" w:after="160" w:line="240" w:lineRule="auto"/>
              <w:ind w:left="0" w:right="0"/>
              <w:jc w:val="left"/>
            </w:pPr>
            <w:r>
              <w:rPr>
                <w:color w:val="000000"/>
                <w:sz w:val="16"/>
                <w:szCs w:val="16"/>
              </w:rPr>
              <w:t xml:space="preserve">beperking van het gebruik van koelsmeermiddel en water voor HPDC-vormen, m.b.v.aangegeven maatregelen. Als preventie niet leidt tot emissiebeperking beneden BBT-gerelateerde niveau: afzuigkap en elektrostatische precipitatie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4.5.8.7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HPDC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emissieniveau: olienevel (gemeten als totale C): 5 - 10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99</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Duurzame vormen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teruggewonnen zand van ontkerning beschikbaar maken voor hergebruik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 met duurzame vormen, indien een lokale markt voor hergebruikt zand bestaat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Duurzame vormen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Omkasting van de ontkern-unit en behandeling van de afgassen met behulp van natte of droge ontstoffing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4.5.9.3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 met duurzame vormen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emissieniveau: stof : 5 - 20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Duurzame vormen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afspoelend water in een afvalwatercircuit voor verdere behandeling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HPDC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Duurzame vormen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lekvloeistof van hydraulische systemen in een afvalwatercircuit voor verdere behandeling: met olieafscheiders en distillatie, vacuüm evaporatie of biologische degradatie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4.6.4, 4.6.6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HPDC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Elektrische boogovens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Betrouwbare en efficiënte procescontrole om de smelttijd en behandelingstijd te beperken</w:t>
            </w:r>
          </w:p>
          <w:bookmarkStart w:id="50698379" w:name="category-122562"/>
          <w:bookmarkEnd w:id="50698379"/>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EAF-ovens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Elektrische boogovens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Koeling van ovengassen en ontstoffing met een doekenfilter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EAF-ovens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geassocieerde emissieniveaus (mg/Nm³ tenzij anders vermeld):- stof : 5-20 - PCDD/PCDF: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Elektrische boogovens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Opvangen van ovengassen met behulp van afzuigkappen, 'fourth hole' evacuatie of inkapseling van de oven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EAF-ovens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Elektrische boogovens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Smelten met schuimende slak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EAF-ovens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Elektrische boogovens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Terugvoer van filterstof in de oven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installaties met stof met hoog metaalgehalte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Gieten, koelen en uitbreken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Omkasten van giet- en afkoellijnen en toepassing van afzuiging voor seriegietlijnen</w:t>
            </w:r>
          </w:p>
          <w:bookmarkStart w:id="62687451" w:name="category-122634"/>
          <w:bookmarkEnd w:id="62687451"/>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gieterijen met verloren vormen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Gieten, koelen en uitbreken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Omkasten van het uitschudrooster en behandeling van het afgas met natte of droge ontstoffing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4.5.9.3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gieterijen met verloren vormen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emissieniveau: stof : 5 - 20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94</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Grondstoffen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Afzonderlijke opslag van aangeleverde materialen , volgens materiaaltype en -kwaliteit, om kwaliteitsverlies en risico's te vermijden</w:t>
            </w:r>
          </w:p>
          <w:bookmarkStart w:id="98478516" w:name="category-122786"/>
          <w:bookmarkEnd w:id="9847851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4.1.2, 4.1.3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Grondstoffen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Afzonderlijke opslag van reststoffen en afvalstoffen om hergebruik, recyclage en verwijdering mogelijk te maken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Grondstoffen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herbruikbare verpakkingen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Grondstoffen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Interne recyclage van schoon schroot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4.1.4, 4.1.5, 4.1.6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Grondstoffen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Opslag zodat schroot in opslagzone geschikte kwaliteit heeft voor toevoer naar de oven en dat bodemverontreiniging wordt vermeden. </w:t>
            </w:r>
          </w:p>
          <w:p>
            <w:pPr>
              <w:widowControl w:val="on"/>
              <w:pBdr/>
              <w:spacing w:before="160" w:after="160" w:line="240" w:lineRule="auto"/>
              <w:ind w:left="0" w:right="0"/>
              <w:jc w:val="left"/>
            </w:pPr>
            <w:r>
              <w:rPr>
                <w:color w:val="000000"/>
                <w:sz w:val="16"/>
                <w:szCs w:val="16"/>
              </w:rPr>
              <w:t xml:space="preserve">Opslag zodat schroot in opslagzone geschikte kwaliteit heeft voor toevoer naar de oven en dat bodemverontreiniging wordt vermeden. Gebruik van ondoorlaatbare vloer voor schrootopslag, met wateropvang en -behandelingssysteem. Een dak kan dergelijk 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Grondstoffen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opslag en behandelingsmethoden zoals gegeven in de BREF voor opslag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5, 1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gieterijen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Behandeling van de afgassen van cold-box kernproductie d.m.v.:- adsorptie op actieve kool- verbranding- chemische wasser- biofilter</w:t>
            </w:r>
          </w:p>
          <w:bookmarkStart w:id="80116938" w:name="category-122952"/>
          <w:bookmarkEnd w:id="80116938"/>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4.5.8.4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cold-box kernmakerijen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emissieniveau: amine : 5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70</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Beperking van de hoeveelheid te storten zand, door toepassen van een strategie van regeneratie en hergebruik:te gebruiken technieken aangegven per zandtype (5.4)</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4.8.4, 4.8.5, 4.8.6, 4.8.7, 4.8.8, 4.8.10, 4.8.11, 4.8.13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 en bestaande gieterijen met gemend- of mono- (harsgebonden) zand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Bij regeneratie gelden de aangegeven minimale regeneratie ratio's R= (hoeveelheid gebruikt geregenereerd zand)/(totale hoeveelheid vormzand)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Beperking van verbruik van binders en harsen en van zandverlies door processturing i.e. manuele of automatische sturing van de menger. Elektronische opslag van productie parameters voor serieproductie met veelvuldige wijziging van de productieparameters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4.3.3.1, 4.3.3.2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82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alcohol-gedragen coatings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voor grote of complexe vormen en kernen- voor waterglas-gebonden zand- in magnesium gieterijen- in de productie van mangaanstaal met MgO-coating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Opvang van de afgassen aan de coating-stand, d.m. v. vaste of beweegbare afzuigkappen. Dit laatste is niet mogelijk voor stukwerk-gieterijen die grote vormen in de vloer maken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4.3.4.2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solventen op aromatische of plantaardige (d.w.z. niet-aromatische) basis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4.3.3.7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cold-box kernmakerijen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water-gedragen coatings en vervanging van alcohol-gedragen coatings voor coaten van vormen en kernen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gieterijen voor productie van middelgrote en grote series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74</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water-gedragen of alcohol-gedragen coatings voor coaten van vormen en kernen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kleinschalige gieterijen en grootschalige gieterijen met stukwerk.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Implementatie van water-gedragen coatings wordt ondersteund door de beschikbaarheid van microgolfdrogers en andere nieuwe droogtechnieken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Maatregelen van goede gebruikspraktijk: proces controle en opvang van afgassen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4.3.3.3, 4.3.3.4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emissieniveau: - stof 5 - 20 mg/Nm³ - amine 5 mg/Nm³ voor regeneratie-units: - SO2 : 120 mg/Nm³ - NOx : 150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82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Monitoring van de kwaliteit en samenstelling van het geregenereerd zand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 en bestaande gieterijen met gemend- of mono- (harsgebonden) zand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Indien regeneratie wordt toegepast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afgassen op de plaats waar kernen worden gemaakt, behandeld en opgeslagen voor verdeling in de gieterij</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Terugwinning van amine uit het waswater van natte wassing van cold-box afgas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zover het totaal volume gerecupereerd amine economisch uitbating toelaat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Toepassing van geregenereerd zand enkel in compatibele systemen. Niet-compatibele zandtypes worden gescheiden gehouden.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4.5.8.1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 en bestaande gieterijen met gemend- of mono- (harsgebonden) zand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Indien regeneratie wordt toegepast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Harsgebonden vormzanden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Uitharden en breken van niet-uitgehard cold -box zand en koudhardend kernzand, in een specifieke eenheid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cold-box kernmakerijen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Minimale interne recirculatie 5 - 10 % van het kernzand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Inductieovens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Beperking van de emissie in overeenstemming met de aangegeven emissieniveaus en indien nodig opvang van het ovengas, waarbij de opvang wordt geoptimaliseerd over de ganse werkingscyclus en droge ontstoffing</w:t>
            </w:r>
          </w:p>
          <w:bookmarkStart w:id="72422467" w:name="category-123224"/>
          <w:bookmarkEnd w:id="7242246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inductieovens voor smelten van Al, Cu, Pb, Zn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geassocieerde emissieniveaus:stof : 1 - 20 mg/Nm³ //chloor : 3 mg/Nm³// totale stofemissie 0,1 - 1 kg/ton gesmolten aluminium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Inductieovens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Droge rookgasreiniging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inductieovens voor smelten van gietijzer en staal</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geassocieerde emissieniveaus: stof : 5-20 mg/Nm³ //PCDD/PCDF: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Inductieovens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Evaluatie van de mogelijkheid om warmte te hergebruiken en implementatie van warmterecuperatie indien mogelijk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inductieovens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Criteria voor toepasbaarheid gegeven in sectie 4.7.2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Inductieovens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afzuiging van ovengas via kap, lip of deksel op elke oven en maximalisatie van de opvang gedurende de ganse werkingscyclus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inductieovens voor smelten van gietijzer en staal</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Inductieovens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middenfrequente spanning, en bij installatie van een nieuwe oven alle normaalfrequente ovens omschakelen naar middenfrequent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inductieovens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Inductieovens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Maatregelen van goede smeltpraktijk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inductieovens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Inductieovens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Schoon schroot insmelten, vermijden van roestig en vuil materiaal en aanhangend zand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smelten van gietijzer en staal</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Kameroven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diffuse en zichtbare emissies, volgens de BBT-elementen voor diffuse emissies (zie 5.1) en gebruik van afzuigkappen</w:t>
            </w:r>
          </w:p>
          <w:bookmarkStart w:id="34477676" w:name="category-123432"/>
          <w:bookmarkEnd w:id="3447767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en bestaande kamerovens voor aluminium en koper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Kameroven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het ovengas en afvoer door een schouw, rekening houdend met de aangegeven emissieniveaus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en bestaande kamerovens voor aluminium en koper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geassocieerde emissieniveaus (alle niveaus in mg/Nm³):stof : 1 - 20 // chloor : 3 // SO2 : 15 // NOx: 50 // CO: 5- TOC : 5 //totale stofemissie 0,1 - 1 kg/ton gesmolten aluminium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Beperking van de 'blast-off' periodes door continu werking of 'long-campaign' werking. Afhankelijk van de noden van de vormmakerij en gieterij moet duplex-werking overwogen worden.</w:t>
            </w:r>
          </w:p>
          <w:bookmarkStart w:id="69350169" w:name="category-123448"/>
          <w:bookmarkEnd w:id="69350169"/>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warme-wind koepelovens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Beperking van de vorming van slak door maatregelen in de procesvoering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koepelovens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Evaluatie van de mogelijkheid om warmte te hergebruiken van warmhoudovens in duplex-configuratie en implementatie van warmterecuperatie indien mogelijk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koepelovens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Criteria voor toepasbaarheid gegeven in sectie 4.7.2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2 rijen blaasgaten voor invoer van verbrandingslucht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koude-wind koepelovens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natte wasser voor installaties die smelten met basische slak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installaties die smelten met basische slak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Basiciteit tot 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zuurstof aangerijkte verbrandingslucht, op continue of intermitterende basis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koepelovens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Zuurstofniveau 22-25% (aanrijking 1-4 %)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Maatregelen van goede smeltpraktijk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koepelovens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26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Naverbranding van ovengas in schacht van koude wind koepelovens, indien de gassen autotherm branden, met herwinning van warmte voor intern gebruik. </w:t>
            </w:r>
          </w:p>
          <w:p>
            <w:pPr>
              <w:widowControl w:val="on"/>
              <w:pBdr/>
              <w:spacing w:before="160" w:after="160" w:line="240" w:lineRule="auto"/>
              <w:ind w:left="0" w:right="0"/>
              <w:jc w:val="left"/>
            </w:pPr>
            <w:r>
              <w:rPr>
                <w:color w:val="000000"/>
                <w:sz w:val="16"/>
                <w:szCs w:val="16"/>
              </w:rPr>
              <w:t xml:space="preserve">naverbranding van ovengas in schacht van koude wind koepelovens, indien de gassen autotherm branden, met herwinning van warmte voor intern gebruik. Voor warme wind koepelovens: verbrandingskamer en terugwinning van warmte voor voorverwarming lucht en ande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4.5.2.3, 4.5.2.2, 4.7.3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koepelovens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20</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Opvangen en verzamelen van cokesgruis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koepelovens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Preventie en beperking van de emissie van dioxines en furanen, door een combinatie van primaire en/of secundaire maatregelen.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koepelovens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 sommige gevallen kan er omwille van deze vereiste een voorkeur zijn voor natte gaswassing. De industriedelegatie heeft twijfel geuit over de haalbaarheid van secundaire maatregelen en stelt de toepasbaarheid voor kleine gieterijen in vraag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22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Reiniging van rookgassen door opeenvolgend opvang, koeling en ontstoffing door middel van een doekenfilter of natte wasser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4.5.2.1, 5.2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en bestaande koepelovens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geassocieerde emissieniveaus (mg/Nm³ tenzij anders vermeld):stof : 5-20 //PCDD/PCDF: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Koepelovens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Voorbehandeling van slakken om hergebruik mogelijk te maken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lokale afzetmarkt bestaat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11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Kroesoven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diffuse emissies, volgens de BBT-elementen voor diffuse emissies (zie 5.1) en gebruik van afzuigkappen</w:t>
            </w:r>
          </w:p>
          <w:bookmarkStart w:id="47968667" w:name="category-123826"/>
          <w:bookmarkEnd w:id="4796866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en bestaande kroesovens voor smelten en warmhouden van aluminium, koper, lood en zink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Ontgassen en reinigen van aluminium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een mobiele of vaste impeller unit met Ar/Cl2 of N2/Cl2 gas</w:t>
            </w:r>
          </w:p>
          <w:bookmarkStart w:id="60290642" w:name="category-123850"/>
          <w:bookmarkEnd w:id="60290642"/>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4.2.8.1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en bestaande gieterijen voor aluminium</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Radiant roof 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van diffuse emissies, volgens de BBT-elementen voor diffuse emissies (zie 5.1) en gebruik van afzuigkappen</w:t>
            </w:r>
          </w:p>
          <w:bookmarkStart w:id="63405517" w:name="category-123912"/>
          <w:bookmarkEnd w:id="6340551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en bestaande 'radiant roof' ovens voor warmhouden van aluminium</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Schachtoven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Efficiënte opvang van ovengas bij kantelen van de oven, met afvoer door een schouw, rekening houdend met de aangegeven emissieniveaus</w:t>
            </w:r>
          </w:p>
          <w:bookmarkStart w:id="28679456" w:name="category-123922"/>
          <w:bookmarkEnd w:id="2867945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en bestaande schachtovens voor aluminium</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geassocieerde emissieniveaus (alle niveaus in mg/Nm³): stof : 1 - 20 // chloor : 3 // SO2 : 30 - 50// NOx: 120// CO : 150// VOC : 100 - 150// totale stofemissie 0,1 - 1 kg/ton gesmolten aluminium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Smelten van magnesium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SO2 als afdekgas of beperking van SF6-verbruik en -emissies</w:t>
            </w:r>
          </w:p>
          <w:bookmarkStart w:id="98436138" w:name="category-123966"/>
          <w:bookmarkEnd w:id="98436138"/>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installaties met een jaarlijkse output van &lt; 500 ton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Indien SF6 wordt gebruikt is het BBT-gerelateerde gebruiksniveau</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Smelten van magnesium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SO2 als afdekgas of vervanging van SF6 door SO2</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installaties met jaarlijkse output van 500 ton en meer.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Gieterijen</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Gieterijen</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098520">
    <w:multiLevelType w:val="hybridMultilevel"/>
    <w:lvl w:ilvl="0" w:tplc="538140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098520">
    <w:abstractNumId w:val="720985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83224730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